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AC" w:rsidRDefault="001A6884">
      <w:pPr>
        <w:tabs>
          <w:tab w:val="center" w:pos="5874"/>
          <w:tab w:val="right" w:pos="11069"/>
        </w:tabs>
        <w:spacing w:after="0" w:line="259" w:lineRule="auto"/>
        <w:ind w:left="0" w:right="-40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-114299</wp:posOffset>
            </wp:positionH>
            <wp:positionV relativeFrom="paragraph">
              <wp:posOffset>-19049</wp:posOffset>
            </wp:positionV>
            <wp:extent cx="685800" cy="669925"/>
            <wp:effectExtent l="0" t="0" r="0" b="0"/>
            <wp:wrapSquare wrapText="bothSides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rPr>
          <w:noProof/>
        </w:rPr>
        <w:drawing>
          <wp:inline distT="0" distB="0" distL="0" distR="0">
            <wp:extent cx="1432560" cy="431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1AC" w:rsidRDefault="001A6884">
      <w:pPr>
        <w:tabs>
          <w:tab w:val="center" w:pos="1088"/>
          <w:tab w:val="center" w:pos="507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6"/>
        </w:rPr>
        <w:t xml:space="preserve"> </w:t>
      </w:r>
      <w:r>
        <w:rPr>
          <w:b/>
          <w:sz w:val="36"/>
        </w:rPr>
        <w:tab/>
        <w:t xml:space="preserve">      Erasmus+ </w:t>
      </w:r>
      <w:proofErr w:type="spellStart"/>
      <w:r>
        <w:rPr>
          <w:b/>
          <w:sz w:val="36"/>
        </w:rPr>
        <w:t>Student</w:t>
      </w:r>
      <w:proofErr w:type="spellEnd"/>
      <w:r>
        <w:rPr>
          <w:b/>
          <w:sz w:val="36"/>
        </w:rPr>
        <w:t xml:space="preserve"> Mobility </w:t>
      </w:r>
      <w:proofErr w:type="spellStart"/>
      <w:r>
        <w:rPr>
          <w:b/>
          <w:sz w:val="36"/>
        </w:rPr>
        <w:t>for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Studies</w:t>
      </w:r>
      <w:proofErr w:type="spellEnd"/>
      <w:r>
        <w:rPr>
          <w:b/>
          <w:sz w:val="36"/>
        </w:rPr>
        <w:t xml:space="preserve"> </w:t>
      </w:r>
    </w:p>
    <w:p w:rsidR="00DE71AC" w:rsidRDefault="001A6884">
      <w:pPr>
        <w:spacing w:after="85" w:line="259" w:lineRule="auto"/>
        <w:jc w:val="left"/>
      </w:pPr>
      <w:r>
        <w:rPr>
          <w:b/>
          <w:sz w:val="36"/>
        </w:rPr>
        <w:t xml:space="preserve">                     </w:t>
      </w:r>
      <w:r w:rsidR="00BF7715">
        <w:rPr>
          <w:b/>
          <w:sz w:val="36"/>
        </w:rPr>
        <w:t xml:space="preserve">                  </w:t>
      </w:r>
      <w:proofErr w:type="spellStart"/>
      <w:r>
        <w:rPr>
          <w:b/>
          <w:sz w:val="36"/>
        </w:rPr>
        <w:t>Call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for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Applications</w:t>
      </w:r>
      <w:proofErr w:type="spellEnd"/>
      <w:r>
        <w:rPr>
          <w:b/>
          <w:sz w:val="36"/>
        </w:rPr>
        <w:t xml:space="preserve"> </w:t>
      </w:r>
    </w:p>
    <w:p w:rsidR="00DE71AC" w:rsidRDefault="00105DA0">
      <w:pPr>
        <w:spacing w:after="46" w:line="259" w:lineRule="auto"/>
        <w:ind w:left="0" w:right="4" w:firstLine="0"/>
        <w:jc w:val="center"/>
      </w:pPr>
      <w:r>
        <w:rPr>
          <w:b/>
          <w:sz w:val="36"/>
        </w:rPr>
        <w:t>2019/2020</w:t>
      </w:r>
      <w:r w:rsidR="000D69EF">
        <w:rPr>
          <w:b/>
          <w:sz w:val="36"/>
        </w:rPr>
        <w:t xml:space="preserve"> (</w:t>
      </w:r>
      <w:proofErr w:type="spellStart"/>
      <w:r>
        <w:rPr>
          <w:b/>
          <w:sz w:val="36"/>
        </w:rPr>
        <w:t>autumn</w:t>
      </w:r>
      <w:proofErr w:type="spellEnd"/>
      <w:r w:rsidR="00BF7715">
        <w:rPr>
          <w:b/>
          <w:sz w:val="36"/>
        </w:rPr>
        <w:t xml:space="preserve"> </w:t>
      </w:r>
      <w:proofErr w:type="spellStart"/>
      <w:r w:rsidR="00BF7715">
        <w:rPr>
          <w:b/>
          <w:sz w:val="36"/>
        </w:rPr>
        <w:t>semester</w:t>
      </w:r>
      <w:proofErr w:type="spellEnd"/>
      <w:r w:rsidR="00BF7715">
        <w:rPr>
          <w:b/>
          <w:sz w:val="36"/>
        </w:rPr>
        <w:t>)</w:t>
      </w:r>
    </w:p>
    <w:p w:rsidR="00DE71AC" w:rsidRDefault="001A6884" w:rsidP="00105DA0">
      <w:pPr>
        <w:spacing w:after="98" w:line="259" w:lineRule="auto"/>
        <w:ind w:right="1"/>
        <w:jc w:val="center"/>
      </w:pPr>
      <w:proofErr w:type="spellStart"/>
      <w:r>
        <w:rPr>
          <w:b/>
          <w:sz w:val="32"/>
          <w:u w:val="single" w:color="000000"/>
        </w:rPr>
        <w:t>Deadline</w:t>
      </w:r>
      <w:proofErr w:type="spellEnd"/>
      <w:r>
        <w:rPr>
          <w:b/>
          <w:sz w:val="32"/>
          <w:u w:val="single" w:color="000000"/>
        </w:rPr>
        <w:t>:</w:t>
      </w:r>
      <w:r w:rsidR="00105DA0">
        <w:rPr>
          <w:b/>
          <w:sz w:val="32"/>
        </w:rPr>
        <w:t xml:space="preserve">1 </w:t>
      </w:r>
      <w:proofErr w:type="spellStart"/>
      <w:r w:rsidR="00105DA0">
        <w:rPr>
          <w:b/>
          <w:sz w:val="32"/>
        </w:rPr>
        <w:t>April</w:t>
      </w:r>
      <w:proofErr w:type="spellEnd"/>
      <w:r w:rsidR="00105DA0">
        <w:rPr>
          <w:b/>
          <w:sz w:val="32"/>
        </w:rPr>
        <w:t>, 2019</w:t>
      </w:r>
      <w:r>
        <w:rPr>
          <w:b/>
          <w:sz w:val="32"/>
        </w:rPr>
        <w:t xml:space="preserve"> </w:t>
      </w:r>
    </w:p>
    <w:p w:rsidR="00DE71AC" w:rsidRDefault="001A6884" w:rsidP="00105DA0">
      <w:pPr>
        <w:spacing w:after="0" w:line="259" w:lineRule="auto"/>
        <w:ind w:left="284" w:firstLine="0"/>
        <w:jc w:val="center"/>
      </w:pPr>
      <w:r>
        <w:rPr>
          <w:b/>
        </w:rPr>
        <w:t xml:space="preserve"> </w:t>
      </w:r>
    </w:p>
    <w:p w:rsidR="00DE71AC" w:rsidRDefault="001A6884">
      <w:pPr>
        <w:spacing w:after="96" w:line="259" w:lineRule="auto"/>
        <w:ind w:left="0" w:right="4" w:firstLine="0"/>
        <w:jc w:val="center"/>
      </w:pPr>
      <w:proofErr w:type="spellStart"/>
      <w:r>
        <w:rPr>
          <w:b/>
          <w:u w:val="single" w:color="000000"/>
        </w:rPr>
        <w:t>Where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to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hand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in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the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applications</w:t>
      </w:r>
      <w:proofErr w:type="spellEnd"/>
      <w:r>
        <w:rPr>
          <w:b/>
          <w:u w:val="single" w:color="000000"/>
        </w:rPr>
        <w:t>?</w:t>
      </w:r>
      <w:r>
        <w:rPr>
          <w:b/>
        </w:rPr>
        <w:t xml:space="preserve">  </w:t>
      </w:r>
    </w:p>
    <w:p w:rsidR="00DE71AC" w:rsidRDefault="001A6884">
      <w:pPr>
        <w:spacing w:after="18"/>
        <w:ind w:right="2"/>
        <w:jc w:val="center"/>
      </w:pPr>
      <w:r w:rsidRPr="00105DA0">
        <w:rPr>
          <w:b/>
          <w:u w:val="single"/>
        </w:rPr>
        <w:t>Veszprém</w:t>
      </w:r>
      <w:r>
        <w:rPr>
          <w:b/>
        </w:rPr>
        <w:t xml:space="preserve">: Kolos Adorján, </w:t>
      </w:r>
      <w:proofErr w:type="spellStart"/>
      <w:r>
        <w:rPr>
          <w:b/>
        </w:rPr>
        <w:t>Directorate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Academic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Affairs</w:t>
      </w:r>
      <w:proofErr w:type="spellEnd"/>
      <w:r>
        <w:rPr>
          <w:b/>
        </w:rPr>
        <w:t xml:space="preserve">, International Office, </w:t>
      </w:r>
    </w:p>
    <w:p w:rsidR="00DE71AC" w:rsidRDefault="001A6884">
      <w:pPr>
        <w:spacing w:after="18"/>
        <w:ind w:right="3"/>
        <w:jc w:val="center"/>
      </w:pPr>
      <w:proofErr w:type="gramStart"/>
      <w:r>
        <w:rPr>
          <w:b/>
        </w:rPr>
        <w:t>Office</w:t>
      </w:r>
      <w:proofErr w:type="gramEnd"/>
      <w:r>
        <w:rPr>
          <w:b/>
        </w:rPr>
        <w:t xml:space="preserve"> no. 5, Building „A” (10 Egyetem utca) </w:t>
      </w:r>
    </w:p>
    <w:p w:rsidR="00DE71AC" w:rsidRDefault="001A6884">
      <w:pPr>
        <w:spacing w:after="18"/>
        <w:jc w:val="center"/>
      </w:pPr>
      <w:r w:rsidRPr="00105DA0">
        <w:rPr>
          <w:b/>
          <w:u w:val="single"/>
        </w:rPr>
        <w:t>Keszthely</w:t>
      </w:r>
      <w:r>
        <w:rPr>
          <w:b/>
        </w:rPr>
        <w:t xml:space="preserve">: Beáta </w:t>
      </w:r>
      <w:proofErr w:type="spellStart"/>
      <w:r>
        <w:rPr>
          <w:b/>
        </w:rPr>
        <w:t>Bődör</w:t>
      </w:r>
      <w:proofErr w:type="spellEnd"/>
      <w:r>
        <w:rPr>
          <w:b/>
        </w:rPr>
        <w:t xml:space="preserve">, Office of International Relations, Building „D” (16 Deák Ferenc utca) </w:t>
      </w:r>
      <w:r w:rsidRPr="00105DA0">
        <w:rPr>
          <w:b/>
          <w:u w:val="single"/>
        </w:rPr>
        <w:t>Nagykanizsa</w:t>
      </w:r>
      <w:r>
        <w:rPr>
          <w:b/>
        </w:rPr>
        <w:t xml:space="preserve">: Dr. Ildikó </w:t>
      </w:r>
      <w:proofErr w:type="spellStart"/>
      <w:r>
        <w:rPr>
          <w:b/>
        </w:rPr>
        <w:t>Ernszt</w:t>
      </w:r>
      <w:proofErr w:type="spellEnd"/>
      <w:r>
        <w:rPr>
          <w:b/>
        </w:rPr>
        <w:t xml:space="preserve"> (18 Zrínyi Miklós utca) </w:t>
      </w:r>
    </w:p>
    <w:p w:rsidR="00105DA0" w:rsidRPr="00105DA0" w:rsidRDefault="00105DA0">
      <w:pPr>
        <w:spacing w:after="18"/>
        <w:jc w:val="center"/>
        <w:rPr>
          <w:b/>
        </w:rPr>
      </w:pPr>
      <w:r w:rsidRPr="00105DA0">
        <w:rPr>
          <w:b/>
          <w:u w:val="single"/>
        </w:rPr>
        <w:t>Kőszeg</w:t>
      </w:r>
      <w:r w:rsidRPr="00105DA0">
        <w:rPr>
          <w:b/>
        </w:rPr>
        <w:t xml:space="preserve">: Veronika </w:t>
      </w:r>
      <w:proofErr w:type="spellStart"/>
      <w:r w:rsidRPr="00105DA0">
        <w:rPr>
          <w:b/>
        </w:rPr>
        <w:t>Raposa</w:t>
      </w:r>
      <w:proofErr w:type="spellEnd"/>
      <w:r w:rsidRPr="00105DA0">
        <w:rPr>
          <w:b/>
        </w:rPr>
        <w:t xml:space="preserve">, </w:t>
      </w:r>
      <w:proofErr w:type="spellStart"/>
      <w:r w:rsidRPr="00105DA0">
        <w:rPr>
          <w:b/>
        </w:rPr>
        <w:t>student</w:t>
      </w:r>
      <w:proofErr w:type="spellEnd"/>
      <w:r w:rsidRPr="00105DA0">
        <w:rPr>
          <w:b/>
        </w:rPr>
        <w:t xml:space="preserve"> </w:t>
      </w:r>
      <w:proofErr w:type="spellStart"/>
      <w:r w:rsidRPr="00105DA0">
        <w:rPr>
          <w:b/>
        </w:rPr>
        <w:t>officer</w:t>
      </w:r>
      <w:proofErr w:type="spellEnd"/>
      <w:r w:rsidRPr="00105DA0">
        <w:rPr>
          <w:b/>
        </w:rPr>
        <w:t xml:space="preserve">, Kőszeg, </w:t>
      </w:r>
      <w:proofErr w:type="spellStart"/>
      <w:r w:rsidRPr="00105DA0">
        <w:rPr>
          <w:b/>
        </w:rPr>
        <w:t>Chernel</w:t>
      </w:r>
      <w:proofErr w:type="spellEnd"/>
      <w:r w:rsidRPr="00105DA0">
        <w:rPr>
          <w:b/>
        </w:rPr>
        <w:t xml:space="preserve"> </w:t>
      </w:r>
      <w:proofErr w:type="spellStart"/>
      <w:r w:rsidRPr="00105DA0">
        <w:rPr>
          <w:b/>
        </w:rPr>
        <w:t>Str</w:t>
      </w:r>
      <w:proofErr w:type="spellEnd"/>
      <w:r w:rsidRPr="00105DA0">
        <w:rPr>
          <w:b/>
        </w:rPr>
        <w:t xml:space="preserve"> 14.</w:t>
      </w:r>
    </w:p>
    <w:p w:rsidR="00DE71AC" w:rsidRDefault="001A6884">
      <w:pPr>
        <w:spacing w:after="50" w:line="259" w:lineRule="auto"/>
        <w:ind w:left="57" w:firstLine="0"/>
        <w:jc w:val="center"/>
      </w:pPr>
      <w:r>
        <w:rPr>
          <w:b/>
        </w:rPr>
        <w:t xml:space="preserve"> </w:t>
      </w:r>
    </w:p>
    <w:p w:rsidR="00DE71AC" w:rsidRDefault="001A6884" w:rsidP="00EC7248">
      <w:pPr>
        <w:spacing w:after="0" w:line="259" w:lineRule="auto"/>
        <w:ind w:right="3"/>
        <w:jc w:val="center"/>
      </w:pPr>
      <w:proofErr w:type="spellStart"/>
      <w:r>
        <w:rPr>
          <w:b/>
          <w:sz w:val="32"/>
          <w:u w:val="single" w:color="000000"/>
        </w:rPr>
        <w:t>Information</w:t>
      </w:r>
      <w:proofErr w:type="spellEnd"/>
      <w:r>
        <w:rPr>
          <w:b/>
          <w:sz w:val="32"/>
          <w:u w:val="single" w:color="000000"/>
        </w:rPr>
        <w:t>:</w:t>
      </w:r>
      <w:r w:rsidR="00EC7248">
        <w:rPr>
          <w:b/>
          <w:sz w:val="32"/>
        </w:rPr>
        <w:t xml:space="preserve"> </w:t>
      </w:r>
    </w:p>
    <w:p w:rsidR="00DE71AC" w:rsidRDefault="001A6884" w:rsidP="00105DA0">
      <w:pPr>
        <w:spacing w:after="50" w:line="259" w:lineRule="auto"/>
        <w:ind w:left="57" w:firstLine="0"/>
        <w:jc w:val="center"/>
      </w:pPr>
      <w:r>
        <w:rPr>
          <w:b/>
          <w:color w:val="0070C0"/>
        </w:rPr>
        <w:t xml:space="preserve"> </w:t>
      </w:r>
    </w:p>
    <w:p w:rsidR="00DE71AC" w:rsidRDefault="001A6884" w:rsidP="00105DA0">
      <w:pPr>
        <w:spacing w:after="270"/>
        <w:ind w:left="567"/>
      </w:pPr>
      <w:r>
        <w:t xml:space="preserve">The University of Pannonia is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part-time</w:t>
      </w:r>
      <w:proofErr w:type="spellEnd"/>
      <w:r w:rsidR="00105DA0">
        <w:t xml:space="preserve"> </w:t>
      </w:r>
      <w:proofErr w:type="spellStart"/>
      <w:r w:rsidR="00105DA0">
        <w:t>studies</w:t>
      </w:r>
      <w:proofErr w:type="spellEnd"/>
      <w:r w:rsidR="00105DA0">
        <w:t xml:space="preserve"> </w:t>
      </w:r>
      <w:proofErr w:type="spellStart"/>
      <w:r w:rsidR="00105DA0">
        <w:t>or</w:t>
      </w:r>
      <w:proofErr w:type="spellEnd"/>
      <w:r w:rsidR="00105DA0">
        <w:t xml:space="preserve"> </w:t>
      </w:r>
      <w:proofErr w:type="spellStart"/>
      <w:r w:rsidR="00105DA0">
        <w:t>internships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Erasmus+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Union. </w:t>
      </w:r>
    </w:p>
    <w:p w:rsidR="00DE71AC" w:rsidRDefault="001A6884" w:rsidP="00105DA0">
      <w:pPr>
        <w:spacing w:after="273"/>
        <w:ind w:left="567" w:firstLine="699"/>
      </w:pPr>
      <w:proofErr w:type="spellStart"/>
      <w:r>
        <w:t>It</w:t>
      </w:r>
      <w:proofErr w:type="spellEnd"/>
      <w:r>
        <w:t xml:space="preserve"> is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part-time</w:t>
      </w:r>
      <w:proofErr w:type="spellEnd"/>
      <w:r>
        <w:t xml:space="preserve"> </w:t>
      </w:r>
      <w:proofErr w:type="spellStart"/>
      <w:proofErr w:type="gramStart"/>
      <w:r>
        <w:t>studi</w:t>
      </w:r>
      <w:proofErr w:type="spellEnd"/>
      <w:r>
        <w:t>(</w:t>
      </w:r>
      <w:proofErr w:type="gramEnd"/>
      <w:r>
        <w:t>es)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(s)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BA/</w:t>
      </w:r>
      <w:proofErr w:type="spellStart"/>
      <w:r>
        <w:t>BSc</w:t>
      </w:r>
      <w:proofErr w:type="spellEnd"/>
      <w:r>
        <w:t xml:space="preserve">, MA/MSC and PhD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Erasmus+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a maximum of 12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tertiary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 xml:space="preserve">: </w:t>
      </w:r>
    </w:p>
    <w:p w:rsidR="00DE71AC" w:rsidRPr="00105DA0" w:rsidRDefault="001A6884">
      <w:pPr>
        <w:numPr>
          <w:ilvl w:val="0"/>
          <w:numId w:val="1"/>
        </w:numPr>
        <w:spacing w:after="268"/>
        <w:ind w:right="6470"/>
        <w:rPr>
          <w:b/>
        </w:rPr>
      </w:pPr>
      <w:r w:rsidRPr="00105DA0">
        <w:rPr>
          <w:b/>
        </w:rPr>
        <w:t xml:space="preserve">3-12-month </w:t>
      </w:r>
      <w:proofErr w:type="spellStart"/>
      <w:r w:rsidRPr="00105DA0">
        <w:rPr>
          <w:b/>
        </w:rPr>
        <w:t>study</w:t>
      </w:r>
      <w:proofErr w:type="spellEnd"/>
      <w:r w:rsidRPr="00105DA0">
        <w:rPr>
          <w:b/>
        </w:rPr>
        <w:t xml:space="preserve"> </w:t>
      </w:r>
      <w:proofErr w:type="spellStart"/>
      <w:r w:rsidRPr="00105DA0">
        <w:rPr>
          <w:b/>
        </w:rPr>
        <w:t>mobility</w:t>
      </w:r>
      <w:proofErr w:type="spellEnd"/>
      <w:r w:rsidRPr="00105DA0">
        <w:rPr>
          <w:b/>
        </w:rPr>
        <w:t>, and/</w:t>
      </w:r>
      <w:proofErr w:type="spellStart"/>
      <w:proofErr w:type="gramStart"/>
      <w:r w:rsidRPr="00105DA0">
        <w:rPr>
          <w:b/>
        </w:rPr>
        <w:t>or</w:t>
      </w:r>
      <w:proofErr w:type="spellEnd"/>
      <w:r w:rsidRPr="00105DA0">
        <w:rPr>
          <w:b/>
        </w:rPr>
        <w:t xml:space="preserve"> </w:t>
      </w:r>
      <w:r w:rsidRPr="00105DA0">
        <w:rPr>
          <w:rFonts w:ascii="Arial" w:eastAsia="Arial" w:hAnsi="Arial" w:cs="Arial"/>
          <w:b/>
          <w:sz w:val="20"/>
        </w:rPr>
        <w:t xml:space="preserve"> </w:t>
      </w:r>
      <w:r w:rsidRPr="00105DA0">
        <w:rPr>
          <w:rFonts w:ascii="Arial" w:eastAsia="Arial" w:hAnsi="Arial" w:cs="Arial"/>
          <w:b/>
          <w:sz w:val="20"/>
        </w:rPr>
        <w:tab/>
      </w:r>
      <w:r w:rsidRPr="00105DA0">
        <w:rPr>
          <w:b/>
        </w:rPr>
        <w:t>2-12-month</w:t>
      </w:r>
      <w:proofErr w:type="gramEnd"/>
      <w:r w:rsidRPr="00105DA0">
        <w:rPr>
          <w:b/>
        </w:rPr>
        <w:t xml:space="preserve"> </w:t>
      </w:r>
      <w:proofErr w:type="spellStart"/>
      <w:r w:rsidRPr="00105DA0">
        <w:rPr>
          <w:b/>
        </w:rPr>
        <w:t>internship</w:t>
      </w:r>
      <w:proofErr w:type="spellEnd"/>
      <w:r w:rsidRPr="00105DA0">
        <w:rPr>
          <w:b/>
        </w:rPr>
        <w:t xml:space="preserve"> </w:t>
      </w:r>
      <w:proofErr w:type="spellStart"/>
      <w:r w:rsidRPr="00105DA0">
        <w:rPr>
          <w:b/>
        </w:rPr>
        <w:t>mobility</w:t>
      </w:r>
      <w:proofErr w:type="spellEnd"/>
      <w:r w:rsidRPr="00105DA0">
        <w:rPr>
          <w:b/>
        </w:rPr>
        <w:t xml:space="preserve">.  </w:t>
      </w:r>
    </w:p>
    <w:p w:rsidR="00DE71AC" w:rsidRDefault="001A6884" w:rsidP="00105DA0">
      <w:pPr>
        <w:spacing w:after="270"/>
        <w:ind w:left="426"/>
      </w:pPr>
      <w:proofErr w:type="spellStart"/>
      <w:r>
        <w:t>Previous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Erasmus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must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12-month </w:t>
      </w:r>
      <w:proofErr w:type="spellStart"/>
      <w:r>
        <w:t>limitation</w:t>
      </w:r>
      <w:proofErr w:type="spellEnd"/>
      <w:r>
        <w:t xml:space="preserve">. </w:t>
      </w:r>
    </w:p>
    <w:p w:rsidR="00DE71AC" w:rsidRDefault="001A6884" w:rsidP="00105DA0">
      <w:pPr>
        <w:spacing w:after="268"/>
        <w:ind w:left="426"/>
      </w:pP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awarded</w:t>
      </w:r>
      <w:proofErr w:type="spellEnd"/>
      <w:r>
        <w:t xml:space="preserve"> a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: </w:t>
      </w:r>
    </w:p>
    <w:p w:rsidR="00DE71AC" w:rsidRDefault="001A6884">
      <w:pPr>
        <w:numPr>
          <w:ilvl w:val="0"/>
          <w:numId w:val="1"/>
        </w:numPr>
        <w:spacing w:after="273"/>
        <w:ind w:right="6470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</w:t>
      </w:r>
      <w:r w:rsidR="00412599">
        <w:t>al</w:t>
      </w:r>
      <w:proofErr w:type="spellEnd"/>
      <w:r w:rsidR="00412599">
        <w:t xml:space="preserve"> </w:t>
      </w:r>
      <w:proofErr w:type="spellStart"/>
      <w:r w:rsidR="00412599">
        <w:t>needs</w:t>
      </w:r>
      <w:proofErr w:type="spellEnd"/>
      <w:r w:rsidR="00412599">
        <w:t xml:space="preserve">, </w:t>
      </w:r>
      <w:proofErr w:type="spellStart"/>
      <w:proofErr w:type="gramStart"/>
      <w:r w:rsidR="00412599">
        <w:t>students</w:t>
      </w:r>
      <w:proofErr w:type="spellEnd"/>
      <w:r w:rsidR="00412599">
        <w:t xml:space="preserve">  </w:t>
      </w:r>
      <w:proofErr w:type="spellStart"/>
      <w:r>
        <w:t>with</w:t>
      </w:r>
      <w:proofErr w:type="spellEnd"/>
      <w:proofErr w:type="gram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 xml:space="preserve">, </w:t>
      </w:r>
      <w:proofErr w:type="spellStart"/>
      <w:r>
        <w:t>socialldisadvantaged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</w:t>
      </w:r>
    </w:p>
    <w:p w:rsidR="00DE71AC" w:rsidRDefault="001A688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E71AC" w:rsidRDefault="001A6884" w:rsidP="00105DA0">
      <w:pPr>
        <w:spacing w:after="0" w:line="259" w:lineRule="auto"/>
        <w:ind w:left="426"/>
        <w:jc w:val="left"/>
      </w:pPr>
      <w:proofErr w:type="spellStart"/>
      <w:r>
        <w:rPr>
          <w:b/>
          <w:u w:val="single" w:color="000000"/>
        </w:rPr>
        <w:t>Who</w:t>
      </w:r>
      <w:proofErr w:type="spellEnd"/>
      <w:r>
        <w:rPr>
          <w:b/>
          <w:u w:val="single" w:color="000000"/>
        </w:rPr>
        <w:t xml:space="preserve"> is </w:t>
      </w:r>
      <w:proofErr w:type="spellStart"/>
      <w:r>
        <w:rPr>
          <w:b/>
          <w:u w:val="single" w:color="000000"/>
        </w:rPr>
        <w:t>eligible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to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take</w:t>
      </w:r>
      <w:proofErr w:type="spellEnd"/>
      <w:r>
        <w:rPr>
          <w:b/>
          <w:u w:val="single" w:color="000000"/>
        </w:rPr>
        <w:t xml:space="preserve"> part </w:t>
      </w:r>
      <w:proofErr w:type="spellStart"/>
      <w:r>
        <w:rPr>
          <w:b/>
          <w:u w:val="single" w:color="000000"/>
        </w:rPr>
        <w:t>in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the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mobility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programme</w:t>
      </w:r>
      <w:proofErr w:type="spellEnd"/>
      <w:r>
        <w:rPr>
          <w:b/>
          <w:u w:val="single" w:color="000000"/>
        </w:rPr>
        <w:t>?</w:t>
      </w:r>
      <w:r>
        <w:rPr>
          <w:b/>
        </w:rPr>
        <w:t xml:space="preserve"> </w:t>
      </w:r>
    </w:p>
    <w:p w:rsidR="00DE71AC" w:rsidRDefault="001A6884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DE71AC" w:rsidRDefault="001A6884">
      <w:pPr>
        <w:pStyle w:val="Cmsor1"/>
        <w:spacing w:after="0"/>
        <w:ind w:left="368" w:right="0" w:hanging="10"/>
      </w:pPr>
      <w:r>
        <w:rPr>
          <w:sz w:val="24"/>
          <w:u w:val="none"/>
        </w:rPr>
        <w:t xml:space="preserve">STUDENTS… </w:t>
      </w:r>
    </w:p>
    <w:p w:rsidR="00DE71AC" w:rsidRDefault="001A6884">
      <w:pPr>
        <w:numPr>
          <w:ilvl w:val="0"/>
          <w:numId w:val="2"/>
        </w:numPr>
        <w:ind w:hanging="360"/>
      </w:pPr>
      <w:r>
        <w:t xml:space="preserve">of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 xml:space="preserve">; </w:t>
      </w:r>
      <w:proofErr w:type="spellStart"/>
      <w:r>
        <w:t>or</w:t>
      </w:r>
      <w:proofErr w:type="spellEnd"/>
      <w:r>
        <w:t xml:space="preserve"> </w:t>
      </w:r>
      <w:proofErr w:type="spellStart"/>
      <w:r w:rsidR="00105DA0">
        <w:t>foreign</w:t>
      </w:r>
      <w:proofErr w:type="spellEnd"/>
      <w:r w:rsidR="00105DA0"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permit,  </w:t>
      </w:r>
    </w:p>
    <w:p w:rsidR="00DE71AC" w:rsidRDefault="001A6884">
      <w:pPr>
        <w:numPr>
          <w:ilvl w:val="0"/>
          <w:numId w:val="2"/>
        </w:numPr>
        <w:ind w:hanging="360"/>
      </w:pPr>
      <w:proofErr w:type="spellStart"/>
      <w:r>
        <w:t>registered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of Pannonia, </w:t>
      </w:r>
    </w:p>
    <w:p w:rsidR="00DE71AC" w:rsidRDefault="00412599">
      <w:pPr>
        <w:numPr>
          <w:ilvl w:val="0"/>
          <w:numId w:val="2"/>
        </w:numPr>
        <w:ind w:hanging="360"/>
      </w:pPr>
      <w:proofErr w:type="spellStart"/>
      <w:r>
        <w:t>with</w:t>
      </w:r>
      <w:proofErr w:type="spellEnd"/>
      <w:r>
        <w:t xml:space="preserve"> an </w:t>
      </w:r>
      <w:proofErr w:type="spellStart"/>
      <w:r>
        <w:t>active</w:t>
      </w:r>
      <w:proofErr w:type="spellEnd"/>
      <w:r>
        <w:t xml:space="preserve"> (</w:t>
      </w:r>
      <w:proofErr w:type="spellStart"/>
      <w:r>
        <w:t>enrolled</w:t>
      </w:r>
      <w:proofErr w:type="spellEnd"/>
      <w:proofErr w:type="gramStart"/>
      <w:r>
        <w:t>)</w:t>
      </w:r>
      <w:proofErr w:type="spellStart"/>
      <w:r w:rsidR="00105DA0">
        <w:t>stu</w:t>
      </w:r>
      <w:r>
        <w:t>dent</w:t>
      </w:r>
      <w:proofErr w:type="spellEnd"/>
      <w:proofErr w:type="gramEnd"/>
      <w:r>
        <w:t xml:space="preserve"> status</w:t>
      </w:r>
      <w:r w:rsidR="001A6884">
        <w:t xml:space="preserve"> </w:t>
      </w:r>
      <w:proofErr w:type="spellStart"/>
      <w:r w:rsidR="001A6884">
        <w:t>the</w:t>
      </w:r>
      <w:proofErr w:type="spellEnd"/>
      <w:r w:rsidR="001A6884">
        <w:t xml:space="preserve"> University,  </w:t>
      </w:r>
    </w:p>
    <w:p w:rsidR="00DE71AC" w:rsidRDefault="001A6884">
      <w:pPr>
        <w:numPr>
          <w:ilvl w:val="0"/>
          <w:numId w:val="2"/>
        </w:numPr>
        <w:ind w:hanging="360"/>
      </w:pPr>
      <w:proofErr w:type="spellStart"/>
      <w:r>
        <w:t>taking</w:t>
      </w:r>
      <w:proofErr w:type="spellEnd"/>
      <w:r>
        <w:t xml:space="preserve"> part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tertiary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, BA/</w:t>
      </w:r>
      <w:proofErr w:type="spellStart"/>
      <w:r>
        <w:t>BSc</w:t>
      </w:r>
      <w:proofErr w:type="spellEnd"/>
      <w:r>
        <w:t>, MA/</w:t>
      </w:r>
      <w:proofErr w:type="spellStart"/>
      <w:r>
        <w:t>MSc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PhD </w:t>
      </w:r>
      <w:proofErr w:type="spellStart"/>
      <w:r>
        <w:t>programmes</w:t>
      </w:r>
      <w:proofErr w:type="spellEnd"/>
      <w:r>
        <w:t xml:space="preserve">, </w:t>
      </w:r>
    </w:p>
    <w:p w:rsidR="00DE71AC" w:rsidRDefault="001A6884">
      <w:pPr>
        <w:numPr>
          <w:ilvl w:val="0"/>
          <w:numId w:val="2"/>
        </w:numPr>
        <w:ind w:hanging="360"/>
      </w:pPr>
      <w:proofErr w:type="spellStart"/>
      <w:r>
        <w:t>full-time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part-time</w:t>
      </w:r>
      <w:proofErr w:type="spellEnd"/>
      <w:r>
        <w:t xml:space="preserve"> (</w:t>
      </w:r>
      <w:proofErr w:type="spellStart"/>
      <w:r>
        <w:t>correspondence</w:t>
      </w:r>
      <w:proofErr w:type="spellEnd"/>
      <w:r>
        <w:t xml:space="preserve">)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</w:t>
      </w:r>
    </w:p>
    <w:p w:rsidR="00DE71AC" w:rsidRDefault="001A6884">
      <w:pPr>
        <w:numPr>
          <w:ilvl w:val="0"/>
          <w:numId w:val="2"/>
        </w:numPr>
        <w:ind w:hanging="360"/>
      </w:pP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handing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, </w:t>
      </w:r>
    </w:p>
    <w:p w:rsidR="00DE71AC" w:rsidRDefault="001A6884">
      <w:pPr>
        <w:numPr>
          <w:ilvl w:val="0"/>
          <w:numId w:val="2"/>
        </w:numPr>
        <w:spacing w:after="0"/>
        <w:ind w:hanging="360"/>
      </w:pP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professionally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and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state-acknowledged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>, (s</w:t>
      </w:r>
      <w:proofErr w:type="gramStart"/>
      <w:r>
        <w:t>)he</w:t>
      </w:r>
      <w:proofErr w:type="gramEnd"/>
      <w:r>
        <w:t xml:space="preserve"> is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an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prerequisite</w:t>
      </w:r>
      <w:proofErr w:type="spellEnd"/>
      <w:r>
        <w:t xml:space="preserve"> of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</w:t>
      </w:r>
    </w:p>
    <w:p w:rsidR="00DE71AC" w:rsidRDefault="001A6884">
      <w:pPr>
        <w:spacing w:after="0" w:line="259" w:lineRule="auto"/>
        <w:ind w:left="708" w:firstLine="0"/>
        <w:jc w:val="left"/>
      </w:pPr>
      <w:r>
        <w:t xml:space="preserve"> </w:t>
      </w:r>
    </w:p>
    <w:p w:rsidR="00412599" w:rsidRDefault="00412599" w:rsidP="00105DA0">
      <w:pPr>
        <w:spacing w:after="0" w:line="259" w:lineRule="auto"/>
        <w:ind w:left="709"/>
        <w:jc w:val="left"/>
        <w:rPr>
          <w:b/>
          <w:u w:val="single" w:color="000000"/>
        </w:rPr>
      </w:pPr>
    </w:p>
    <w:p w:rsidR="00412599" w:rsidRDefault="00412599" w:rsidP="00105DA0">
      <w:pPr>
        <w:spacing w:after="0" w:line="259" w:lineRule="auto"/>
        <w:ind w:left="709"/>
        <w:jc w:val="left"/>
        <w:rPr>
          <w:b/>
          <w:u w:val="single" w:color="000000"/>
        </w:rPr>
      </w:pPr>
    </w:p>
    <w:p w:rsidR="00DE71AC" w:rsidRDefault="001A6884" w:rsidP="00105DA0">
      <w:pPr>
        <w:spacing w:after="0" w:line="259" w:lineRule="auto"/>
        <w:ind w:left="709"/>
        <w:jc w:val="left"/>
      </w:pPr>
      <w:proofErr w:type="spellStart"/>
      <w:r>
        <w:rPr>
          <w:b/>
          <w:u w:val="single" w:color="000000"/>
        </w:rPr>
        <w:t>Required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documents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when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applying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DE71AC" w:rsidRDefault="001A6884" w:rsidP="00105DA0">
      <w:pPr>
        <w:spacing w:after="0" w:line="259" w:lineRule="auto"/>
        <w:ind w:left="709" w:firstLine="0"/>
        <w:jc w:val="left"/>
      </w:pPr>
      <w:r>
        <w:t xml:space="preserve"> </w:t>
      </w:r>
    </w:p>
    <w:p w:rsidR="00DE71AC" w:rsidRDefault="001A6884" w:rsidP="00105DA0">
      <w:pPr>
        <w:numPr>
          <w:ilvl w:val="0"/>
          <w:numId w:val="2"/>
        </w:numPr>
        <w:ind w:left="709" w:hanging="360"/>
      </w:pPr>
      <w:proofErr w:type="spellStart"/>
      <w:r>
        <w:t>filled-out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</w:p>
    <w:p w:rsidR="00DE71AC" w:rsidRDefault="001A6884" w:rsidP="00105DA0">
      <w:pPr>
        <w:numPr>
          <w:ilvl w:val="0"/>
          <w:numId w:val="2"/>
        </w:numPr>
        <w:spacing w:after="0"/>
        <w:ind w:left="709" w:hanging="360"/>
      </w:pPr>
      <w:proofErr w:type="spellStart"/>
      <w:r>
        <w:t>Learning</w:t>
      </w:r>
      <w:proofErr w:type="spellEnd"/>
      <w:r>
        <w:t xml:space="preserve"> Agreement (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)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>/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– min. 16 ECTS </w:t>
      </w:r>
      <w:proofErr w:type="spellStart"/>
      <w:r>
        <w:t>credits</w:t>
      </w:r>
      <w:proofErr w:type="spellEnd"/>
      <w:r>
        <w:t>/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)  </w:t>
      </w:r>
    </w:p>
    <w:p w:rsidR="00DE71AC" w:rsidRDefault="001A6884" w:rsidP="00105DA0">
      <w:pPr>
        <w:numPr>
          <w:ilvl w:val="0"/>
          <w:numId w:val="2"/>
        </w:numPr>
        <w:spacing w:after="0"/>
        <w:ind w:left="709" w:hanging="360"/>
      </w:pPr>
      <w:r>
        <w:t xml:space="preserve">CV,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(</w:t>
      </w:r>
      <w:proofErr w:type="spellStart"/>
      <w:r>
        <w:t>in</w:t>
      </w:r>
      <w:proofErr w:type="spellEnd"/>
      <w:r>
        <w:t xml:space="preserve"> English +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),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proofErr w:type="spellStart"/>
      <w:r>
        <w:t>ID-sized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(1 pc.), </w:t>
      </w:r>
      <w:bookmarkStart w:id="0" w:name="_GoBack"/>
      <w:bookmarkEnd w:id="0"/>
    </w:p>
    <w:p w:rsidR="00DE71AC" w:rsidRDefault="001A6884" w:rsidP="00105DA0">
      <w:pPr>
        <w:numPr>
          <w:ilvl w:val="0"/>
          <w:numId w:val="2"/>
        </w:numPr>
        <w:spacing w:after="0"/>
        <w:ind w:left="709" w:hanging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index (</w:t>
      </w:r>
      <w:proofErr w:type="spellStart"/>
      <w:r>
        <w:t>record</w:t>
      </w:r>
      <w:proofErr w:type="spellEnd"/>
      <w:r>
        <w:t xml:space="preserve">) of 2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, printed out </w:t>
      </w:r>
      <w:proofErr w:type="spellStart"/>
      <w:r>
        <w:t>from</w:t>
      </w:r>
      <w:proofErr w:type="spellEnd"/>
      <w:r>
        <w:t xml:space="preserve"> NEPTUN,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of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sufficient</w:t>
      </w:r>
      <w:proofErr w:type="spellEnd"/>
      <w:r>
        <w:t xml:space="preserve">) </w:t>
      </w:r>
    </w:p>
    <w:p w:rsidR="00DE71AC" w:rsidRDefault="001A6884" w:rsidP="00105DA0">
      <w:pPr>
        <w:numPr>
          <w:ilvl w:val="0"/>
          <w:numId w:val="2"/>
        </w:numPr>
        <w:ind w:left="709" w:hanging="360"/>
      </w:pPr>
      <w:proofErr w:type="spellStart"/>
      <w:r>
        <w:t>copies</w:t>
      </w:r>
      <w:proofErr w:type="spellEnd"/>
      <w:r>
        <w:t xml:space="preserve"> of (a) </w:t>
      </w:r>
      <w:proofErr w:type="spellStart"/>
      <w:r>
        <w:t>state-acknowledged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proofErr w:type="gramStart"/>
      <w:r>
        <w:t>certificate</w:t>
      </w:r>
      <w:proofErr w:type="spellEnd"/>
      <w:r>
        <w:t>(</w:t>
      </w:r>
      <w:proofErr w:type="gramEnd"/>
      <w:r>
        <w:t xml:space="preserve">s), </w:t>
      </w:r>
    </w:p>
    <w:p w:rsidR="00DE71AC" w:rsidRDefault="001A6884" w:rsidP="00105DA0">
      <w:pPr>
        <w:numPr>
          <w:ilvl w:val="0"/>
          <w:numId w:val="2"/>
        </w:numPr>
        <w:ind w:left="709" w:hanging="360"/>
      </w:pPr>
      <w:proofErr w:type="spellStart"/>
      <w:r>
        <w:t>professional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, </w:t>
      </w:r>
    </w:p>
    <w:p w:rsidR="00DE71AC" w:rsidRDefault="001A6884" w:rsidP="00105DA0">
      <w:pPr>
        <w:numPr>
          <w:ilvl w:val="0"/>
          <w:numId w:val="2"/>
        </w:numPr>
        <w:ind w:left="709" w:hanging="360"/>
      </w:pPr>
      <w:proofErr w:type="spellStart"/>
      <w:r>
        <w:t>students</w:t>
      </w:r>
      <w:proofErr w:type="spellEnd"/>
      <w:r>
        <w:t xml:space="preserve">’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, </w:t>
      </w:r>
    </w:p>
    <w:p w:rsidR="00DE71AC" w:rsidRDefault="001A6884" w:rsidP="00105DA0">
      <w:pPr>
        <w:numPr>
          <w:ilvl w:val="0"/>
          <w:numId w:val="2"/>
        </w:numPr>
        <w:ind w:left="709" w:hanging="360"/>
      </w:pPr>
      <w:proofErr w:type="spellStart"/>
      <w:r>
        <w:t>professional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, </w:t>
      </w:r>
      <w:proofErr w:type="spellStart"/>
      <w:r>
        <w:t>prizes</w:t>
      </w:r>
      <w:proofErr w:type="spellEnd"/>
      <w:r>
        <w:t xml:space="preserve">,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 xml:space="preserve">), </w:t>
      </w:r>
    </w:p>
    <w:p w:rsidR="00DE71AC" w:rsidRDefault="001A6884" w:rsidP="00105DA0">
      <w:pPr>
        <w:numPr>
          <w:ilvl w:val="0"/>
          <w:numId w:val="2"/>
        </w:numPr>
        <w:spacing w:after="0"/>
        <w:ind w:left="709" w:hanging="360"/>
      </w:pPr>
      <w:proofErr w:type="spellStart"/>
      <w:r>
        <w:t>certificates</w:t>
      </w:r>
      <w:proofErr w:type="spellEnd"/>
      <w:r>
        <w:t xml:space="preserve"> of </w:t>
      </w:r>
      <w:proofErr w:type="spellStart"/>
      <w:r>
        <w:t>recurring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 and sport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 xml:space="preserve">),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a </w:t>
      </w:r>
      <w:proofErr w:type="spellStart"/>
      <w:r>
        <w:t>register</w:t>
      </w:r>
      <w:proofErr w:type="spellEnd"/>
      <w:r>
        <w:t xml:space="preserve"> of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and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trips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. </w:t>
      </w:r>
    </w:p>
    <w:p w:rsidR="00DE71AC" w:rsidRDefault="001A6884" w:rsidP="00105DA0">
      <w:pPr>
        <w:spacing w:after="0" w:line="259" w:lineRule="auto"/>
        <w:ind w:left="709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DE71AC" w:rsidRDefault="001A6884" w:rsidP="00105DA0">
      <w:pPr>
        <w:spacing w:after="0" w:line="259" w:lineRule="auto"/>
        <w:ind w:left="709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:rsidR="00DE71AC" w:rsidRDefault="001A6884" w:rsidP="00105DA0">
      <w:pPr>
        <w:spacing w:after="110"/>
        <w:ind w:left="709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(a) </w:t>
      </w:r>
      <w:proofErr w:type="spellStart"/>
      <w:r>
        <w:t>receiving</w:t>
      </w:r>
      <w:proofErr w:type="spellEnd"/>
      <w:r>
        <w:t xml:space="preserve"> </w:t>
      </w:r>
      <w:proofErr w:type="spellStart"/>
      <w:proofErr w:type="gramStart"/>
      <w:r>
        <w:t>institution</w:t>
      </w:r>
      <w:proofErr w:type="spellEnd"/>
      <w:r>
        <w:t>(</w:t>
      </w:r>
      <w:proofErr w:type="gramEnd"/>
      <w:r>
        <w:t xml:space="preserve">s)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of Pannonia is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a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i/>
        </w:rPr>
        <w:t xml:space="preserve">List of Partner </w:t>
      </w:r>
      <w:proofErr w:type="spellStart"/>
      <w:r>
        <w:rPr>
          <w:i/>
        </w:rPr>
        <w:t>Institutions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. </w:t>
      </w:r>
      <w:r w:rsidR="00412599">
        <w:t>(</w:t>
      </w:r>
      <w:hyperlink r:id="rId7" w:history="1">
        <w:r w:rsidR="00412599" w:rsidRPr="00D831E8">
          <w:rPr>
            <w:rStyle w:val="Hiperhivatkozs"/>
          </w:rPr>
          <w:t>https://www.dropbox.com/s/mokjffijrio9iwz/Bilateralis%20szerződések_2014-2020_2018_09_18_AKTUÁLIS.xlsx?dl=0</w:t>
        </w:r>
      </w:hyperlink>
      <w:r w:rsidR="00412599">
        <w:t>)</w:t>
      </w:r>
    </w:p>
    <w:p w:rsidR="00412599" w:rsidRDefault="00412599" w:rsidP="00105DA0">
      <w:pPr>
        <w:spacing w:after="110"/>
        <w:ind w:left="709"/>
      </w:pPr>
    </w:p>
    <w:p w:rsidR="00DE71AC" w:rsidRDefault="001A6884" w:rsidP="00412599">
      <w:pPr>
        <w:spacing w:after="96" w:line="259" w:lineRule="auto"/>
        <w:ind w:left="709" w:firstLine="0"/>
        <w:jc w:val="left"/>
      </w:pPr>
      <w:r>
        <w:t xml:space="preserve">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is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, i.e., </w:t>
      </w:r>
      <w:proofErr w:type="spellStart"/>
      <w:r>
        <w:t>departmental</w:t>
      </w:r>
      <w:proofErr w:type="spellEnd"/>
      <w:r>
        <w:t xml:space="preserve"> and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filled-out</w:t>
      </w:r>
      <w:proofErr w:type="spellEnd"/>
      <w:r>
        <w:t xml:space="preserve"> </w:t>
      </w:r>
      <w:proofErr w:type="spellStart"/>
      <w:r>
        <w:rPr>
          <w:b/>
        </w:rPr>
        <w:t>electronically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punch-pocket</w:t>
      </w:r>
      <w:proofErr w:type="spellEnd"/>
      <w:r>
        <w:t xml:space="preserve"> </w:t>
      </w:r>
      <w:proofErr w:type="spellStart"/>
      <w:r>
        <w:rPr>
          <w:u w:val="single" w:color="000000"/>
        </w:rPr>
        <w:t>without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staples</w:t>
      </w:r>
      <w:proofErr w:type="spellEnd"/>
      <w:r>
        <w:t xml:space="preserve">. </w:t>
      </w:r>
    </w:p>
    <w:p w:rsidR="00DE71AC" w:rsidRDefault="001A6884" w:rsidP="00105DA0">
      <w:pPr>
        <w:spacing w:after="115" w:line="259" w:lineRule="auto"/>
        <w:ind w:left="709" w:firstLine="0"/>
        <w:jc w:val="left"/>
      </w:pPr>
      <w:r>
        <w:t xml:space="preserve"> </w:t>
      </w:r>
    </w:p>
    <w:p w:rsidR="00DE71AC" w:rsidRDefault="001A6884" w:rsidP="00105DA0">
      <w:pPr>
        <w:spacing w:after="0"/>
        <w:ind w:left="709"/>
      </w:pP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contacts</w:t>
      </w:r>
      <w:proofErr w:type="spellEnd"/>
      <w:r>
        <w:t xml:space="preserve">: </w:t>
      </w:r>
    </w:p>
    <w:p w:rsidR="00DE71AC" w:rsidRDefault="001A6884" w:rsidP="00105DA0">
      <w:pPr>
        <w:spacing w:after="0" w:line="259" w:lineRule="auto"/>
        <w:ind w:left="709" w:firstLine="0"/>
        <w:jc w:val="left"/>
      </w:pPr>
      <w:r>
        <w:t xml:space="preserve"> </w:t>
      </w:r>
    </w:p>
    <w:p w:rsidR="00DE71AC" w:rsidRDefault="001A6884" w:rsidP="00105DA0">
      <w:pPr>
        <w:spacing w:after="113" w:line="259" w:lineRule="auto"/>
        <w:ind w:left="709" w:firstLine="0"/>
        <w:jc w:val="left"/>
      </w:pPr>
      <w:r>
        <w:t xml:space="preserve">Email: </w:t>
      </w:r>
      <w:r>
        <w:rPr>
          <w:b/>
          <w:color w:val="0070C0"/>
          <w:u w:val="single" w:color="0070C0"/>
        </w:rPr>
        <w:t>erasmus@almos.uni-pannon.hu</w:t>
      </w:r>
      <w:r>
        <w:t xml:space="preserve"> </w:t>
      </w:r>
    </w:p>
    <w:p w:rsidR="00DE71AC" w:rsidRDefault="001A6884" w:rsidP="00105DA0">
      <w:pPr>
        <w:spacing w:after="150"/>
        <w:ind w:left="709"/>
      </w:pPr>
      <w:r>
        <w:t>Tel</w:t>
      </w:r>
      <w:proofErr w:type="gramStart"/>
      <w:r>
        <w:t>.:</w:t>
      </w:r>
      <w:proofErr w:type="gramEnd"/>
      <w:r>
        <w:t xml:space="preserve"> +36 88 624-753 </w:t>
      </w:r>
    </w:p>
    <w:p w:rsidR="00DE71AC" w:rsidRDefault="001A6884" w:rsidP="00105DA0">
      <w:pPr>
        <w:spacing w:after="125"/>
        <w:ind w:left="709"/>
      </w:pPr>
      <w:proofErr w:type="spellStart"/>
      <w:r>
        <w:t>In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: </w:t>
      </w:r>
      <w:r w:rsidR="006D1B3D">
        <w:t xml:space="preserve">Mr. </w:t>
      </w:r>
      <w:r>
        <w:t xml:space="preserve">Adorján Kolos, </w:t>
      </w:r>
      <w:proofErr w:type="spellStart"/>
      <w:r>
        <w:t>Institutional</w:t>
      </w:r>
      <w:proofErr w:type="spellEnd"/>
      <w:r>
        <w:t xml:space="preserve"> Erasmus </w:t>
      </w:r>
      <w:proofErr w:type="spellStart"/>
      <w:r>
        <w:t>coordinator</w:t>
      </w:r>
      <w:proofErr w:type="spellEnd"/>
      <w:r>
        <w:t xml:space="preserve">, </w:t>
      </w:r>
      <w:r w:rsidR="006D1B3D">
        <w:t xml:space="preserve">Veszprém, </w:t>
      </w:r>
      <w:r>
        <w:t>Build</w:t>
      </w:r>
      <w:r w:rsidR="006D1B3D">
        <w:t xml:space="preserve">ing „A,” International </w:t>
      </w:r>
      <w:r>
        <w:t xml:space="preserve">Office, </w:t>
      </w:r>
      <w:proofErr w:type="spellStart"/>
      <w:r>
        <w:t>Directorate</w:t>
      </w:r>
      <w:proofErr w:type="spellEnd"/>
      <w:r>
        <w:t xml:space="preserve"> of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</w:p>
    <w:tbl>
      <w:tblPr>
        <w:tblStyle w:val="TableGrid"/>
        <w:tblW w:w="3791" w:type="dxa"/>
        <w:tblInd w:w="891" w:type="dxa"/>
        <w:tblLook w:val="04A0" w:firstRow="1" w:lastRow="0" w:firstColumn="1" w:lastColumn="0" w:noHBand="0" w:noVBand="1"/>
      </w:tblPr>
      <w:tblGrid>
        <w:gridCol w:w="2125"/>
        <w:gridCol w:w="1666"/>
      </w:tblGrid>
      <w:tr w:rsidR="00DE71AC" w:rsidTr="00105DA0">
        <w:trPr>
          <w:trHeight w:val="27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  <w:jc w:val="left"/>
            </w:pPr>
            <w:r>
              <w:rPr>
                <w:u w:val="single" w:color="000000"/>
              </w:rPr>
              <w:t xml:space="preserve">Consulting </w:t>
            </w:r>
            <w:proofErr w:type="spellStart"/>
            <w:r>
              <w:rPr>
                <w:u w:val="single" w:color="000000"/>
              </w:rPr>
              <w:t>hours</w:t>
            </w:r>
            <w:proofErr w:type="spellEnd"/>
            <w:r>
              <w:rPr>
                <w:u w:val="single" w:color="000000"/>
              </w:rPr>
              <w:t>:</w:t>
            </w:r>
            <w: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DE71AC" w:rsidP="00105DA0">
            <w:pPr>
              <w:spacing w:after="160" w:line="259" w:lineRule="auto"/>
              <w:ind w:left="709" w:firstLine="0"/>
              <w:jc w:val="left"/>
            </w:pPr>
          </w:p>
        </w:tc>
      </w:tr>
      <w:tr w:rsidR="00DE71AC" w:rsidTr="00105DA0">
        <w:trPr>
          <w:trHeight w:val="276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tabs>
                <w:tab w:val="center" w:pos="1416"/>
              </w:tabs>
              <w:spacing w:after="0" w:line="259" w:lineRule="auto"/>
              <w:ind w:left="709" w:firstLine="0"/>
              <w:jc w:val="left"/>
            </w:pPr>
            <w:proofErr w:type="spellStart"/>
            <w:r>
              <w:t>Monday</w:t>
            </w:r>
            <w:proofErr w:type="spell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  <w:jc w:val="left"/>
            </w:pPr>
            <w:r>
              <w:t xml:space="preserve">9-11 am </w:t>
            </w:r>
          </w:p>
        </w:tc>
      </w:tr>
      <w:tr w:rsidR="00105DA0" w:rsidTr="00105DA0">
        <w:trPr>
          <w:trHeight w:val="276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105DA0" w:rsidRDefault="00105DA0" w:rsidP="00105DA0">
            <w:pPr>
              <w:tabs>
                <w:tab w:val="center" w:pos="1416"/>
              </w:tabs>
              <w:spacing w:after="0" w:line="259" w:lineRule="auto"/>
              <w:ind w:left="709" w:firstLine="0"/>
              <w:jc w:val="left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05DA0" w:rsidRDefault="00105DA0" w:rsidP="00105DA0">
            <w:pPr>
              <w:spacing w:after="0" w:line="259" w:lineRule="auto"/>
              <w:ind w:left="709" w:firstLine="0"/>
              <w:jc w:val="left"/>
            </w:pPr>
          </w:p>
        </w:tc>
      </w:tr>
      <w:tr w:rsidR="00DE71AC" w:rsidTr="00105DA0">
        <w:trPr>
          <w:trHeight w:val="276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tabs>
                <w:tab w:val="center" w:pos="1416"/>
              </w:tabs>
              <w:spacing w:after="0" w:line="259" w:lineRule="auto"/>
              <w:ind w:left="709" w:firstLine="0"/>
              <w:jc w:val="left"/>
            </w:pPr>
            <w:proofErr w:type="spellStart"/>
            <w:r>
              <w:t>Tuesday</w:t>
            </w:r>
            <w:proofErr w:type="spell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  <w:jc w:val="left"/>
            </w:pPr>
            <w:r>
              <w:t xml:space="preserve">1-3 </w:t>
            </w:r>
            <w:proofErr w:type="spellStart"/>
            <w:r>
              <w:t>pm</w:t>
            </w:r>
            <w:proofErr w:type="spellEnd"/>
            <w:r>
              <w:t xml:space="preserve"> </w:t>
            </w:r>
          </w:p>
        </w:tc>
      </w:tr>
      <w:tr w:rsidR="00DE71AC" w:rsidTr="00105DA0">
        <w:trPr>
          <w:trHeight w:val="276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  <w:jc w:val="left"/>
            </w:pPr>
            <w:proofErr w:type="spellStart"/>
            <w:r>
              <w:t>Wednesday</w:t>
            </w:r>
            <w:proofErr w:type="spellEnd"/>
            <w:r>
              <w:t xml:space="preserve"> 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</w:pPr>
            <w:r>
              <w:t xml:space="preserve">9-11 am; 1-3 </w:t>
            </w:r>
            <w:proofErr w:type="spellStart"/>
            <w:r>
              <w:t>pm</w:t>
            </w:r>
            <w:proofErr w:type="spellEnd"/>
            <w:r>
              <w:t xml:space="preserve"> </w:t>
            </w:r>
          </w:p>
        </w:tc>
      </w:tr>
      <w:tr w:rsidR="00DE71AC" w:rsidTr="00105DA0">
        <w:trPr>
          <w:trHeight w:val="276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tabs>
                <w:tab w:val="center" w:pos="1416"/>
              </w:tabs>
              <w:spacing w:after="0" w:line="259" w:lineRule="auto"/>
              <w:ind w:left="709" w:firstLine="0"/>
              <w:jc w:val="left"/>
            </w:pPr>
            <w:proofErr w:type="spellStart"/>
            <w:r>
              <w:t>Thursday</w:t>
            </w:r>
            <w:proofErr w:type="spell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  <w:jc w:val="left"/>
            </w:pPr>
            <w:r>
              <w:t xml:space="preserve">CLOSED </w:t>
            </w:r>
          </w:p>
        </w:tc>
      </w:tr>
      <w:tr w:rsidR="00DE71AC" w:rsidTr="00105DA0">
        <w:trPr>
          <w:trHeight w:val="27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tabs>
                <w:tab w:val="center" w:pos="1416"/>
              </w:tabs>
              <w:spacing w:after="0" w:line="259" w:lineRule="auto"/>
              <w:ind w:left="709" w:firstLine="0"/>
              <w:jc w:val="left"/>
            </w:pPr>
            <w:proofErr w:type="spellStart"/>
            <w:r>
              <w:t>Friday</w:t>
            </w:r>
            <w:proofErr w:type="spellEnd"/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DE71AC" w:rsidRDefault="001A6884" w:rsidP="00105DA0">
            <w:pPr>
              <w:spacing w:after="0" w:line="259" w:lineRule="auto"/>
              <w:ind w:left="709" w:firstLine="0"/>
              <w:jc w:val="left"/>
            </w:pPr>
            <w:r>
              <w:t xml:space="preserve">9-11 am </w:t>
            </w:r>
          </w:p>
        </w:tc>
      </w:tr>
    </w:tbl>
    <w:p w:rsidR="00DE71AC" w:rsidRDefault="001A6884" w:rsidP="00105DA0">
      <w:pPr>
        <w:spacing w:after="0" w:line="259" w:lineRule="auto"/>
        <w:ind w:left="709" w:firstLine="0"/>
        <w:jc w:val="left"/>
      </w:pPr>
      <w:r>
        <w:t xml:space="preserve"> </w:t>
      </w:r>
    </w:p>
    <w:p w:rsidR="006D1B3D" w:rsidRDefault="006D1B3D" w:rsidP="00105DA0">
      <w:pPr>
        <w:pStyle w:val="Cmsor1"/>
        <w:spacing w:after="175"/>
        <w:ind w:left="709" w:right="0"/>
      </w:pPr>
    </w:p>
    <w:p w:rsidR="00DE71AC" w:rsidRDefault="001A6884" w:rsidP="00105DA0">
      <w:pPr>
        <w:pStyle w:val="Cmsor1"/>
        <w:spacing w:after="175"/>
        <w:ind w:left="709" w:right="0"/>
      </w:pPr>
      <w:r>
        <w:t xml:space="preserve">General </w:t>
      </w:r>
      <w:proofErr w:type="spellStart"/>
      <w:r>
        <w:t>Information</w:t>
      </w:r>
      <w:proofErr w:type="spellEnd"/>
      <w:r>
        <w:rPr>
          <w:u w:val="none"/>
        </w:rPr>
        <w:t xml:space="preserve"> </w:t>
      </w:r>
    </w:p>
    <w:p w:rsidR="00DE71AC" w:rsidRDefault="001A6884" w:rsidP="00105DA0">
      <w:pPr>
        <w:pStyle w:val="Cmsor2"/>
        <w:ind w:left="709" w:right="0"/>
      </w:pPr>
      <w:r>
        <w:t xml:space="preserve">1. Main </w:t>
      </w:r>
      <w:proofErr w:type="spellStart"/>
      <w:r>
        <w:t>objective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rPr>
          <w:b w:val="0"/>
        </w:rPr>
        <w:t xml:space="preserve"> </w:t>
      </w:r>
    </w:p>
    <w:p w:rsidR="00DE71AC" w:rsidRDefault="001A6884" w:rsidP="00105DA0">
      <w:pPr>
        <w:spacing w:after="271"/>
        <w:ind w:left="709"/>
      </w:pPr>
      <w:r>
        <w:t xml:space="preserve">The </w:t>
      </w:r>
      <w:proofErr w:type="spellStart"/>
      <w:r>
        <w:t>programme</w:t>
      </w:r>
      <w:proofErr w:type="spellEnd"/>
      <w:r>
        <w:t xml:space="preserve"> is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, </w:t>
      </w:r>
      <w:proofErr w:type="spellStart"/>
      <w:r>
        <w:t>linguistic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higher-educational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. Mobility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has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advancement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(</w:t>
      </w:r>
      <w:proofErr w:type="spellStart"/>
      <w:r>
        <w:t>soft</w:t>
      </w:r>
      <w:proofErr w:type="spellEnd"/>
      <w:r>
        <w:t xml:space="preserve">) </w:t>
      </w:r>
      <w:proofErr w:type="spellStart"/>
      <w:r>
        <w:t>skills</w:t>
      </w:r>
      <w:proofErr w:type="spellEnd"/>
      <w:r>
        <w:t xml:space="preserve">. </w:t>
      </w:r>
    </w:p>
    <w:p w:rsidR="001A6884" w:rsidRDefault="001A6884" w:rsidP="00105DA0">
      <w:pPr>
        <w:spacing w:after="253" w:line="259" w:lineRule="auto"/>
        <w:ind w:left="709"/>
        <w:jc w:val="left"/>
        <w:rPr>
          <w:b/>
        </w:rPr>
      </w:pPr>
    </w:p>
    <w:p w:rsidR="00DE71AC" w:rsidRDefault="001A6884" w:rsidP="00105DA0">
      <w:pPr>
        <w:spacing w:after="253" w:line="259" w:lineRule="auto"/>
        <w:ind w:left="709"/>
        <w:jc w:val="left"/>
      </w:pPr>
      <w:r>
        <w:rPr>
          <w:b/>
        </w:rPr>
        <w:t xml:space="preserve">2. </w:t>
      </w:r>
      <w:proofErr w:type="spellStart"/>
      <w:r>
        <w:rPr>
          <w:b/>
        </w:rPr>
        <w:t>Who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eligible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participate</w:t>
      </w:r>
      <w:proofErr w:type="spellEnd"/>
      <w:r>
        <w:rPr>
          <w:b/>
        </w:rPr>
        <w:t>?</w:t>
      </w:r>
      <w:r>
        <w:t xml:space="preserve"> </w:t>
      </w:r>
    </w:p>
    <w:p w:rsidR="00DE71AC" w:rsidRDefault="001A6884" w:rsidP="00105DA0">
      <w:pPr>
        <w:spacing w:after="272"/>
        <w:ind w:left="709"/>
      </w:pPr>
      <w:proofErr w:type="spellStart"/>
      <w:r>
        <w:t>Registered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 Charter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Education. </w:t>
      </w:r>
    </w:p>
    <w:p w:rsidR="00DE71AC" w:rsidRDefault="001A6884" w:rsidP="00105DA0">
      <w:pPr>
        <w:pStyle w:val="Cmsor2"/>
        <w:ind w:left="709" w:right="0"/>
      </w:pPr>
      <w:r>
        <w:t xml:space="preserve">3.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rPr>
          <w:b w:val="0"/>
        </w:rPr>
        <w:t xml:space="preserve"> </w:t>
      </w:r>
    </w:p>
    <w:p w:rsidR="00DE71AC" w:rsidRDefault="001A6884" w:rsidP="00105DA0">
      <w:pPr>
        <w:numPr>
          <w:ilvl w:val="0"/>
          <w:numId w:val="3"/>
        </w:numPr>
        <w:ind w:left="709" w:hanging="360"/>
      </w:pPr>
      <w:proofErr w:type="spellStart"/>
      <w:r>
        <w:t>Study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(</w:t>
      </w:r>
      <w:proofErr w:type="spellStart"/>
      <w:r>
        <w:t>duration</w:t>
      </w:r>
      <w:proofErr w:type="spellEnd"/>
      <w:r>
        <w:t xml:space="preserve">: 3-12 </w:t>
      </w:r>
      <w:proofErr w:type="spellStart"/>
      <w:r>
        <w:t>months</w:t>
      </w:r>
      <w:proofErr w:type="spellEnd"/>
      <w:r>
        <w:t xml:space="preserve">); </w:t>
      </w:r>
    </w:p>
    <w:p w:rsidR="00DE71AC" w:rsidRDefault="001A6884" w:rsidP="00105DA0">
      <w:pPr>
        <w:numPr>
          <w:ilvl w:val="0"/>
          <w:numId w:val="3"/>
        </w:numPr>
        <w:spacing w:after="313"/>
        <w:ind w:left="709" w:hanging="360"/>
      </w:pPr>
      <w:proofErr w:type="spellStart"/>
      <w:r>
        <w:t>Study</w:t>
      </w:r>
      <w:proofErr w:type="spellEnd"/>
      <w:r>
        <w:t xml:space="preserve"> and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(</w:t>
      </w:r>
      <w:proofErr w:type="spellStart"/>
      <w:r>
        <w:t>duration</w:t>
      </w:r>
      <w:proofErr w:type="spellEnd"/>
      <w:r>
        <w:t xml:space="preserve">: 3-12 </w:t>
      </w:r>
      <w:proofErr w:type="spellStart"/>
      <w:r>
        <w:t>months</w:t>
      </w:r>
      <w:proofErr w:type="spellEnd"/>
      <w:r>
        <w:t xml:space="preserve">). </w:t>
      </w:r>
    </w:p>
    <w:p w:rsidR="00DE71AC" w:rsidRDefault="001A6884" w:rsidP="00105DA0">
      <w:pPr>
        <w:pStyle w:val="Cmsor2"/>
        <w:ind w:left="709" w:right="0"/>
      </w:pPr>
      <w:r>
        <w:t xml:space="preserve">4.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rPr>
          <w:b w:val="0"/>
        </w:rPr>
        <w:t xml:space="preserve"> </w:t>
      </w:r>
    </w:p>
    <w:p w:rsidR="00DE71AC" w:rsidRDefault="001A6884" w:rsidP="00105DA0">
      <w:pPr>
        <w:spacing w:after="270"/>
        <w:ind w:left="709"/>
      </w:pP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EU (</w:t>
      </w:r>
      <w:proofErr w:type="spellStart"/>
      <w:r>
        <w:t>Austria</w:t>
      </w:r>
      <w:proofErr w:type="spellEnd"/>
      <w:r>
        <w:t xml:space="preserve">, Belgium, </w:t>
      </w:r>
      <w:proofErr w:type="spellStart"/>
      <w:r>
        <w:t>Bulgaria</w:t>
      </w:r>
      <w:proofErr w:type="spellEnd"/>
      <w:r>
        <w:t xml:space="preserve">, </w:t>
      </w:r>
      <w:proofErr w:type="spellStart"/>
      <w:r>
        <w:t>Croatia</w:t>
      </w:r>
      <w:proofErr w:type="spellEnd"/>
      <w:r>
        <w:t xml:space="preserve">, </w:t>
      </w:r>
      <w:proofErr w:type="spellStart"/>
      <w:r>
        <w:t>Cyprus</w:t>
      </w:r>
      <w:proofErr w:type="spellEnd"/>
      <w:r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, </w:t>
      </w:r>
      <w:proofErr w:type="spellStart"/>
      <w:r>
        <w:t>Denmark</w:t>
      </w:r>
      <w:proofErr w:type="spellEnd"/>
      <w:r>
        <w:t xml:space="preserve">, </w:t>
      </w:r>
      <w:proofErr w:type="spellStart"/>
      <w:r>
        <w:t>Estonia</w:t>
      </w:r>
      <w:proofErr w:type="spellEnd"/>
      <w:r>
        <w:t xml:space="preserve">, </w:t>
      </w:r>
      <w:proofErr w:type="spellStart"/>
      <w:r>
        <w:t>Finland</w:t>
      </w:r>
      <w:proofErr w:type="spellEnd"/>
      <w:r>
        <w:t xml:space="preserve">, France, </w:t>
      </w:r>
      <w:proofErr w:type="spellStart"/>
      <w:r>
        <w:t>Germany</w:t>
      </w:r>
      <w:proofErr w:type="spellEnd"/>
      <w:r>
        <w:t xml:space="preserve">, Great </w:t>
      </w:r>
      <w:proofErr w:type="spellStart"/>
      <w:r>
        <w:t>Britain</w:t>
      </w:r>
      <w:proofErr w:type="spellEnd"/>
      <w:r>
        <w:t xml:space="preserve">, </w:t>
      </w:r>
      <w:proofErr w:type="spellStart"/>
      <w:r>
        <w:t>Greece</w:t>
      </w:r>
      <w:proofErr w:type="spellEnd"/>
      <w:r>
        <w:t xml:space="preserve">, Hungary, </w:t>
      </w:r>
      <w:proofErr w:type="spellStart"/>
      <w:r>
        <w:t>Ireland</w:t>
      </w:r>
      <w:proofErr w:type="spellEnd"/>
      <w:r>
        <w:t xml:space="preserve">, </w:t>
      </w:r>
      <w:proofErr w:type="spellStart"/>
      <w:r>
        <w:t>Italy</w:t>
      </w:r>
      <w:proofErr w:type="spellEnd"/>
      <w:r>
        <w:t xml:space="preserve">, </w:t>
      </w:r>
      <w:proofErr w:type="spellStart"/>
      <w:r>
        <w:t>Latvia</w:t>
      </w:r>
      <w:proofErr w:type="spellEnd"/>
      <w:r>
        <w:t xml:space="preserve">, </w:t>
      </w:r>
      <w:proofErr w:type="spellStart"/>
      <w:r>
        <w:t>Lithuania</w:t>
      </w:r>
      <w:proofErr w:type="spellEnd"/>
      <w:r>
        <w:t xml:space="preserve">, Luxembourg, </w:t>
      </w:r>
      <w:proofErr w:type="spellStart"/>
      <w:r>
        <w:t>Malta</w:t>
      </w:r>
      <w:proofErr w:type="spellEnd"/>
      <w:r>
        <w:t xml:space="preserve">, </w:t>
      </w:r>
      <w:proofErr w:type="spellStart"/>
      <w:r>
        <w:t>Poland</w:t>
      </w:r>
      <w:proofErr w:type="spellEnd"/>
      <w:r>
        <w:t xml:space="preserve">, </w:t>
      </w:r>
      <w:proofErr w:type="spellStart"/>
      <w:r>
        <w:t>Portugal</w:t>
      </w:r>
      <w:proofErr w:type="spellEnd"/>
      <w:r>
        <w:t xml:space="preserve">, </w:t>
      </w:r>
      <w:proofErr w:type="spellStart"/>
      <w:r>
        <w:t>Romania</w:t>
      </w:r>
      <w:proofErr w:type="spellEnd"/>
      <w:r>
        <w:t xml:space="preserve">, </w:t>
      </w:r>
      <w:proofErr w:type="spellStart"/>
      <w:r>
        <w:t>Slovakia</w:t>
      </w:r>
      <w:proofErr w:type="spellEnd"/>
      <w:r>
        <w:t xml:space="preserve">, </w:t>
      </w:r>
      <w:proofErr w:type="spellStart"/>
      <w:r>
        <w:t>Slovenia</w:t>
      </w:r>
      <w:proofErr w:type="spellEnd"/>
      <w:r>
        <w:t xml:space="preserve">, Spain, </w:t>
      </w:r>
      <w:proofErr w:type="spellStart"/>
      <w:r>
        <w:t>Sweden</w:t>
      </w:r>
      <w:proofErr w:type="spellEnd"/>
      <w:r>
        <w:t xml:space="preserve">, The </w:t>
      </w:r>
      <w:proofErr w:type="spellStart"/>
      <w:r>
        <w:t>Netherlands</w:t>
      </w:r>
      <w:proofErr w:type="spellEnd"/>
      <w:r>
        <w:t xml:space="preserve">). </w:t>
      </w:r>
    </w:p>
    <w:p w:rsidR="00DE71AC" w:rsidRDefault="001A6884" w:rsidP="00105DA0">
      <w:pPr>
        <w:spacing w:after="273"/>
        <w:ind w:left="709"/>
      </w:pPr>
      <w:r>
        <w:t xml:space="preserve">Non-EU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: </w:t>
      </w:r>
      <w:proofErr w:type="spellStart"/>
      <w:r>
        <w:t>Iceland</w:t>
      </w:r>
      <w:proofErr w:type="spellEnd"/>
      <w:r>
        <w:t xml:space="preserve">, Liechtenstein,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Macedonia</w:t>
      </w:r>
      <w:proofErr w:type="spellEnd"/>
      <w:r>
        <w:t xml:space="preserve"> (F</w:t>
      </w:r>
      <w:proofErr w:type="gramStart"/>
      <w:r>
        <w:t>.Y.</w:t>
      </w:r>
      <w:proofErr w:type="gramEnd"/>
      <w:r>
        <w:t xml:space="preserve">R. </w:t>
      </w:r>
      <w:proofErr w:type="spellStart"/>
      <w:r>
        <w:t>Macedonia</w:t>
      </w:r>
      <w:proofErr w:type="spellEnd"/>
      <w:r>
        <w:t xml:space="preserve">), </w:t>
      </w:r>
      <w:proofErr w:type="spellStart"/>
      <w:r>
        <w:t>Turkey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Europe. </w:t>
      </w:r>
    </w:p>
    <w:p w:rsidR="00DE71AC" w:rsidRDefault="001A6884" w:rsidP="00105DA0">
      <w:pPr>
        <w:pStyle w:val="Cmsor2"/>
        <w:ind w:left="709" w:right="0"/>
      </w:pPr>
      <w:r>
        <w:t xml:space="preserve">5.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rPr>
          <w:b w:val="0"/>
        </w:rPr>
        <w:t xml:space="preserve">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The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is </w:t>
      </w:r>
      <w:proofErr w:type="spellStart"/>
      <w:r>
        <w:t>ECHE-certified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The </w:t>
      </w:r>
      <w:proofErr w:type="spellStart"/>
      <w:r>
        <w:t>student</w:t>
      </w:r>
      <w:proofErr w:type="spellEnd"/>
      <w:r>
        <w:t xml:space="preserve"> is of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is </w:t>
      </w:r>
      <w:proofErr w:type="spellStart"/>
      <w:r>
        <w:t>completing</w:t>
      </w:r>
      <w:proofErr w:type="spellEnd"/>
      <w:r>
        <w:t xml:space="preserve"> a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Mobility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studies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The </w:t>
      </w:r>
      <w:proofErr w:type="spellStart"/>
      <w:r>
        <w:t>Student</w:t>
      </w:r>
      <w:proofErr w:type="spellEnd"/>
      <w:r>
        <w:t xml:space="preserve"> has </w:t>
      </w:r>
      <w:proofErr w:type="spellStart"/>
      <w:r>
        <w:t>met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The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is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Committee</w:t>
      </w:r>
      <w:proofErr w:type="spellEnd"/>
      <w:r>
        <w:t xml:space="preserve"> (online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).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rPr>
          <w:i/>
        </w:rPr>
        <w:t>may</w:t>
      </w:r>
      <w:proofErr w:type="spellEnd"/>
      <w:r>
        <w:rPr>
          <w:i/>
        </w:rPr>
        <w:t xml:space="preserve"> be </w:t>
      </w:r>
      <w:proofErr w:type="spellStart"/>
      <w:r>
        <w:rPr>
          <w:i/>
        </w:rP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internship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simultaneity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has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tertiary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The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„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”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The </w:t>
      </w:r>
      <w:proofErr w:type="spellStart"/>
      <w:r>
        <w:t>Student</w:t>
      </w:r>
      <w:proofErr w:type="spellEnd"/>
      <w:r>
        <w:t xml:space="preserve"> has 12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„</w:t>
      </w:r>
      <w:proofErr w:type="spellStart"/>
      <w:r>
        <w:t>zero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” </w:t>
      </w:r>
      <w:proofErr w:type="spellStart"/>
      <w:r>
        <w:t>mobility</w:t>
      </w:r>
      <w:proofErr w:type="spellEnd"/>
      <w:r>
        <w:t xml:space="preserve">). Mobility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LLP has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(„</w:t>
      </w:r>
      <w:proofErr w:type="spellStart"/>
      <w:r>
        <w:t>zero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” </w:t>
      </w:r>
      <w:proofErr w:type="spellStart"/>
      <w:r>
        <w:t>mobility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!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r>
        <w:t xml:space="preserve">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has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negotiated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starting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The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must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curriculum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a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and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ind w:left="709" w:hanging="360"/>
      </w:pP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institution’s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i/>
        </w:rPr>
        <w:t>fully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accept</w:t>
      </w:r>
      <w:proofErr w:type="spellEnd"/>
      <w:r>
        <w:rPr>
          <w:i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and </w:t>
      </w:r>
      <w:proofErr w:type="spellStart"/>
      <w:r>
        <w:t>certification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and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</w:p>
    <w:p w:rsidR="00DE71AC" w:rsidRDefault="001A6884" w:rsidP="00105DA0">
      <w:pPr>
        <w:numPr>
          <w:ilvl w:val="0"/>
          <w:numId w:val="4"/>
        </w:numPr>
        <w:spacing w:after="306"/>
        <w:ind w:left="709" w:hanging="360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scholarships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loans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out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prior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Erasmus+. </w:t>
      </w:r>
    </w:p>
    <w:p w:rsidR="00DE71AC" w:rsidRDefault="001A6884" w:rsidP="00105DA0">
      <w:pPr>
        <w:spacing w:after="0" w:line="259" w:lineRule="auto"/>
        <w:ind w:left="709" w:firstLine="0"/>
        <w:jc w:val="left"/>
      </w:pPr>
      <w:r>
        <w:lastRenderedPageBreak/>
        <w:t xml:space="preserve"> </w:t>
      </w:r>
    </w:p>
    <w:p w:rsidR="00DE71AC" w:rsidRDefault="001A6884" w:rsidP="00105DA0">
      <w:pPr>
        <w:pStyle w:val="Cmsor2"/>
        <w:ind w:left="709" w:right="0"/>
      </w:pPr>
      <w:r>
        <w:t xml:space="preserve">6. </w:t>
      </w:r>
      <w:proofErr w:type="spellStart"/>
      <w:r>
        <w:t>Priorities</w:t>
      </w:r>
      <w:proofErr w:type="spellEnd"/>
      <w:r>
        <w:rPr>
          <w:b w:val="0"/>
        </w:rPr>
        <w:t xml:space="preserve"> </w:t>
      </w:r>
    </w:p>
    <w:p w:rsidR="00DE71AC" w:rsidRDefault="001A6884" w:rsidP="00105DA0">
      <w:pPr>
        <w:spacing w:after="268"/>
        <w:ind w:left="709"/>
      </w:pP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instruction</w:t>
      </w:r>
      <w:proofErr w:type="spellEnd"/>
      <w:r>
        <w:t xml:space="preserve">: </w:t>
      </w:r>
    </w:p>
    <w:p w:rsidR="00DE71AC" w:rsidRDefault="001A6884" w:rsidP="00105DA0">
      <w:pPr>
        <w:numPr>
          <w:ilvl w:val="0"/>
          <w:numId w:val="5"/>
        </w:numPr>
        <w:ind w:left="709" w:hanging="360"/>
      </w:pPr>
      <w:proofErr w:type="spellStart"/>
      <w:r>
        <w:t>Skills</w:t>
      </w:r>
      <w:proofErr w:type="spellEnd"/>
      <w:r>
        <w:t xml:space="preserve"> and </w:t>
      </w:r>
      <w:proofErr w:type="spellStart"/>
      <w:r>
        <w:t>key-competences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and drive,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and </w:t>
      </w:r>
      <w:proofErr w:type="spellStart"/>
      <w:r>
        <w:t>multilingualism</w:t>
      </w:r>
      <w:proofErr w:type="spellEnd"/>
      <w:r>
        <w:t xml:space="preserve">,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and </w:t>
      </w:r>
      <w:proofErr w:type="spellStart"/>
      <w:r>
        <w:t>student-centred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; </w:t>
      </w:r>
    </w:p>
    <w:p w:rsidR="00DE71AC" w:rsidRDefault="001A6884" w:rsidP="00105DA0">
      <w:pPr>
        <w:numPr>
          <w:ilvl w:val="0"/>
          <w:numId w:val="5"/>
        </w:numPr>
        <w:ind w:left="709" w:hanging="360"/>
      </w:pP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(ICT)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open-source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plus, </w:t>
      </w:r>
      <w:proofErr w:type="spellStart"/>
      <w:r>
        <w:t>ICT-based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 of </w:t>
      </w:r>
      <w:proofErr w:type="spellStart"/>
      <w:r>
        <w:t>both</w:t>
      </w:r>
      <w:proofErr w:type="spellEnd"/>
      <w:r>
        <w:t xml:space="preserve"> producer and </w:t>
      </w:r>
      <w:proofErr w:type="spellStart"/>
      <w:r>
        <w:t>consumer</w:t>
      </w:r>
      <w:proofErr w:type="spellEnd"/>
      <w:r>
        <w:t xml:space="preserve"> (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 and copyright)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; </w:t>
      </w:r>
    </w:p>
    <w:p w:rsidR="00DE71AC" w:rsidRDefault="001A6884" w:rsidP="00105DA0">
      <w:pPr>
        <w:numPr>
          <w:ilvl w:val="0"/>
          <w:numId w:val="5"/>
        </w:numPr>
        <w:ind w:left="709" w:hanging="360"/>
      </w:pPr>
      <w:proofErr w:type="spellStart"/>
      <w:r>
        <w:t>Reinforcing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of </w:t>
      </w:r>
      <w:proofErr w:type="spellStart"/>
      <w:r>
        <w:t>transparency</w:t>
      </w:r>
      <w:proofErr w:type="spellEnd"/>
      <w:r>
        <w:t xml:space="preserve"> of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qualifications</w:t>
      </w:r>
      <w:proofErr w:type="spellEnd"/>
      <w:r>
        <w:t xml:space="preserve">; </w:t>
      </w:r>
    </w:p>
    <w:p w:rsidR="00DE71AC" w:rsidRDefault="001A6884" w:rsidP="00105DA0">
      <w:pPr>
        <w:numPr>
          <w:ilvl w:val="0"/>
          <w:numId w:val="5"/>
        </w:numPr>
        <w:spacing w:after="306"/>
        <w:ind w:left="709" w:hanging="360"/>
      </w:pPr>
      <w:proofErr w:type="spellStart"/>
      <w:r>
        <w:t>Facilitating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and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and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,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and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European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</w:p>
    <w:p w:rsidR="00DE71AC" w:rsidRDefault="001A6884" w:rsidP="00105DA0">
      <w:pPr>
        <w:spacing w:after="265"/>
        <w:ind w:left="709"/>
      </w:pPr>
      <w:proofErr w:type="spellStart"/>
      <w:r>
        <w:t>Furthermore</w:t>
      </w:r>
      <w:proofErr w:type="spellEnd"/>
      <w:r>
        <w:t xml:space="preserve">: </w:t>
      </w:r>
    </w:p>
    <w:p w:rsidR="00DE71AC" w:rsidRDefault="001A6884" w:rsidP="00105DA0">
      <w:pPr>
        <w:numPr>
          <w:ilvl w:val="0"/>
          <w:numId w:val="5"/>
        </w:numPr>
        <w:spacing w:after="303"/>
        <w:ind w:left="709" w:hanging="360"/>
      </w:pPr>
      <w:proofErr w:type="spellStart"/>
      <w:r>
        <w:t>As</w:t>
      </w:r>
      <w:proofErr w:type="spellEnd"/>
      <w:r>
        <w:t xml:space="preserve"> </w:t>
      </w:r>
      <w:proofErr w:type="spellStart"/>
      <w:r>
        <w:t>regards</w:t>
      </w:r>
      <w:proofErr w:type="spellEnd"/>
      <w:r>
        <w:t xml:space="preserve"> </w:t>
      </w:r>
      <w:proofErr w:type="spellStart"/>
      <w:r>
        <w:t>tertiary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project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modernisation</w:t>
      </w:r>
      <w:proofErr w:type="spellEnd"/>
      <w:r>
        <w:t xml:space="preserve"> of European </w:t>
      </w:r>
      <w:proofErr w:type="spellStart"/>
      <w:r>
        <w:t>higher-education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Higher-Education</w:t>
      </w:r>
      <w:proofErr w:type="spellEnd"/>
      <w:r>
        <w:t xml:space="preserve"> Schedule of 2011. </w:t>
      </w:r>
    </w:p>
    <w:p w:rsidR="00DE71AC" w:rsidRDefault="001A6884" w:rsidP="00105DA0">
      <w:pPr>
        <w:spacing w:after="275"/>
        <w:ind w:left="709"/>
      </w:pPr>
      <w:r>
        <w:t xml:space="preserve">77.5% is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2014-2020 </w:t>
      </w:r>
      <w:proofErr w:type="spellStart"/>
      <w:r>
        <w:t>cycle</w:t>
      </w:r>
      <w:proofErr w:type="spellEnd"/>
      <w:r>
        <w:t xml:space="preserve">, and </w:t>
      </w:r>
      <w:proofErr w:type="spellStart"/>
      <w:r>
        <w:t>another</w:t>
      </w:r>
      <w:proofErr w:type="spellEnd"/>
      <w:r>
        <w:t xml:space="preserve"> 3.5% is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. </w:t>
      </w:r>
    </w:p>
    <w:p w:rsidR="00DE71AC" w:rsidRDefault="001A6884" w:rsidP="00105DA0">
      <w:pPr>
        <w:pStyle w:val="Cmsor2"/>
        <w:ind w:left="709" w:right="0"/>
      </w:pPr>
      <w:r>
        <w:t xml:space="preserve">7.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</w:t>
      </w:r>
      <w:proofErr w:type="spellEnd"/>
      <w:r>
        <w:rPr>
          <w:b w:val="0"/>
        </w:rPr>
        <w:t xml:space="preserve"> </w:t>
      </w:r>
    </w:p>
    <w:p w:rsidR="00DE71AC" w:rsidRDefault="001A6884" w:rsidP="00105DA0">
      <w:pPr>
        <w:spacing w:after="266"/>
        <w:ind w:left="709"/>
      </w:pPr>
      <w:r>
        <w:t xml:space="preserve">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is made </w:t>
      </w:r>
      <w:proofErr w:type="spellStart"/>
      <w:r>
        <w:t>up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: </w:t>
      </w:r>
    </w:p>
    <w:p w:rsidR="00DE71AC" w:rsidRDefault="001A6884" w:rsidP="00105DA0">
      <w:pPr>
        <w:numPr>
          <w:ilvl w:val="0"/>
          <w:numId w:val="6"/>
        </w:numPr>
        <w:ind w:left="709" w:hanging="360"/>
      </w:pPr>
      <w:r>
        <w:t xml:space="preserve">Grant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: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pre-defined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of </w:t>
      </w:r>
      <w:proofErr w:type="spellStart"/>
      <w:r>
        <w:t>living</w:t>
      </w:r>
      <w:proofErr w:type="spellEnd"/>
      <w:r>
        <w:t xml:space="preserve"> </w:t>
      </w:r>
    </w:p>
    <w:p w:rsidR="00DE71AC" w:rsidRDefault="001A6884" w:rsidP="00105DA0">
      <w:pPr>
        <w:numPr>
          <w:ilvl w:val="0"/>
          <w:numId w:val="6"/>
        </w:numPr>
        <w:spacing w:after="416"/>
        <w:ind w:left="709" w:hanging="360"/>
      </w:pPr>
      <w:proofErr w:type="spellStart"/>
      <w:r>
        <w:t>Language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: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Committee’s</w:t>
      </w:r>
      <w:proofErr w:type="spellEnd"/>
      <w:r>
        <w:t xml:space="preserve"> „OLS”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t>Obtainable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: </w:t>
      </w:r>
    </w:p>
    <w:p w:rsidR="00F93CF3" w:rsidRPr="00F37262" w:rsidRDefault="00F93CF3" w:rsidP="00105DA0">
      <w:pPr>
        <w:pStyle w:val="Cmsor1"/>
        <w:ind w:left="709"/>
        <w:rPr>
          <w:sz w:val="24"/>
          <w:szCs w:val="24"/>
        </w:rPr>
      </w:pPr>
      <w:proofErr w:type="spellStart"/>
      <w:r w:rsidRPr="00F37262">
        <w:rPr>
          <w:sz w:val="24"/>
          <w:szCs w:val="24"/>
        </w:rPr>
        <w:t>Receiving</w:t>
      </w:r>
      <w:proofErr w:type="spellEnd"/>
      <w:r w:rsidRPr="00F37262">
        <w:rPr>
          <w:sz w:val="24"/>
          <w:szCs w:val="24"/>
        </w:rPr>
        <w:t xml:space="preserve"> country </w:t>
      </w:r>
      <w:proofErr w:type="spellStart"/>
      <w:r w:rsidRPr="00F37262">
        <w:rPr>
          <w:sz w:val="24"/>
          <w:szCs w:val="24"/>
        </w:rPr>
        <w:t>grant</w:t>
      </w:r>
      <w:proofErr w:type="spellEnd"/>
    </w:p>
    <w:tbl>
      <w:tblPr>
        <w:tblStyle w:val="TableGrid"/>
        <w:tblW w:w="10206" w:type="dxa"/>
        <w:tblInd w:w="421" w:type="dxa"/>
        <w:tblCellMar>
          <w:top w:w="104" w:type="dxa"/>
          <w:left w:w="94" w:type="dxa"/>
          <w:right w:w="324" w:type="dxa"/>
        </w:tblCellMar>
        <w:tblLook w:val="04A0" w:firstRow="1" w:lastRow="0" w:firstColumn="1" w:lastColumn="0" w:noHBand="0" w:noVBand="1"/>
      </w:tblPr>
      <w:tblGrid>
        <w:gridCol w:w="4824"/>
        <w:gridCol w:w="5382"/>
      </w:tblGrid>
      <w:tr w:rsidR="00772C2B" w:rsidTr="0049032A">
        <w:trPr>
          <w:trHeight w:val="105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72C2B" w:rsidRPr="00710947" w:rsidRDefault="00772C2B" w:rsidP="00105DA0">
            <w:pPr>
              <w:spacing w:after="0"/>
              <w:ind w:left="709" w:right="112"/>
              <w:jc w:val="center"/>
            </w:pPr>
            <w:r w:rsidRPr="00710947">
              <w:rPr>
                <w:rFonts w:eastAsia="Calibri"/>
                <w:b/>
                <w:sz w:val="22"/>
              </w:rPr>
              <w:t xml:space="preserve">Country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72C2B" w:rsidRPr="00710947" w:rsidRDefault="00772C2B" w:rsidP="00105DA0">
            <w:pPr>
              <w:spacing w:after="0"/>
              <w:ind w:left="709" w:right="189" w:hanging="65"/>
              <w:rPr>
                <w:rFonts w:eastAsia="Calibri"/>
                <w:b/>
                <w:sz w:val="22"/>
              </w:rPr>
            </w:pPr>
            <w:r w:rsidRPr="00710947">
              <w:rPr>
                <w:rFonts w:eastAsia="Calibri"/>
                <w:b/>
                <w:sz w:val="22"/>
              </w:rPr>
              <w:t xml:space="preserve">Erasmus+ </w:t>
            </w:r>
            <w:proofErr w:type="spellStart"/>
            <w:r w:rsidRPr="00710947">
              <w:rPr>
                <w:rFonts w:eastAsia="Calibri"/>
                <w:b/>
                <w:sz w:val="22"/>
              </w:rPr>
              <w:t>mobility</w:t>
            </w:r>
            <w:proofErr w:type="spellEnd"/>
            <w:r w:rsidRPr="00710947">
              <w:rPr>
                <w:rFonts w:eastAsia="Calibri"/>
                <w:b/>
                <w:sz w:val="22"/>
              </w:rPr>
              <w:t xml:space="preserve"> </w:t>
            </w:r>
            <w:proofErr w:type="spellStart"/>
            <w:r w:rsidRPr="00710947">
              <w:rPr>
                <w:rFonts w:eastAsia="Calibri"/>
                <w:b/>
                <w:sz w:val="22"/>
              </w:rPr>
              <w:t>grant</w:t>
            </w:r>
            <w:proofErr w:type="spellEnd"/>
            <w:r w:rsidRPr="00710947">
              <w:rPr>
                <w:rFonts w:eastAsia="Calibri"/>
                <w:b/>
                <w:sz w:val="22"/>
              </w:rPr>
              <w:t xml:space="preserve"> </w:t>
            </w:r>
            <w:proofErr w:type="spellStart"/>
            <w:r w:rsidRPr="00710947">
              <w:rPr>
                <w:rFonts w:eastAsia="Calibri"/>
                <w:b/>
                <w:sz w:val="22"/>
              </w:rPr>
              <w:t>for</w:t>
            </w:r>
            <w:proofErr w:type="spellEnd"/>
            <w:r w:rsidRPr="00710947">
              <w:rPr>
                <w:rFonts w:eastAsia="Calibri"/>
                <w:b/>
                <w:sz w:val="22"/>
              </w:rPr>
              <w:t xml:space="preserve"> </w:t>
            </w:r>
            <w:proofErr w:type="spellStart"/>
            <w:r w:rsidRPr="00710947">
              <w:rPr>
                <w:rFonts w:eastAsia="Calibri"/>
                <w:b/>
                <w:sz w:val="22"/>
              </w:rPr>
              <w:t>studies</w:t>
            </w:r>
            <w:proofErr w:type="spellEnd"/>
            <w:r w:rsidRPr="00710947">
              <w:rPr>
                <w:rFonts w:eastAsia="Calibri"/>
                <w:b/>
                <w:sz w:val="22"/>
              </w:rPr>
              <w:t xml:space="preserve"> /</w:t>
            </w:r>
            <w:proofErr w:type="spellStart"/>
            <w:r w:rsidRPr="00710947">
              <w:rPr>
                <w:rFonts w:eastAsia="Calibri"/>
                <w:b/>
                <w:sz w:val="22"/>
              </w:rPr>
              <w:t>month</w:t>
            </w:r>
            <w:proofErr w:type="spellEnd"/>
          </w:p>
        </w:tc>
      </w:tr>
      <w:tr w:rsidR="00772C2B" w:rsidTr="0049032A">
        <w:trPr>
          <w:trHeight w:val="750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2B" w:rsidRPr="00710947" w:rsidRDefault="00F37262" w:rsidP="00105DA0">
            <w:pPr>
              <w:spacing w:after="0"/>
              <w:ind w:left="709" w:firstLine="94"/>
            </w:pPr>
            <w:proofErr w:type="spellStart"/>
            <w:r w:rsidRPr="00710947">
              <w:rPr>
                <w:rFonts w:eastAsia="Calibri"/>
                <w:sz w:val="22"/>
              </w:rPr>
              <w:t>Denmark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Finland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Ireland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Iceland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772C2B" w:rsidRPr="00710947">
              <w:rPr>
                <w:rFonts w:eastAsia="Calibri"/>
                <w:sz w:val="22"/>
              </w:rPr>
              <w:t>Lichtenstein</w:t>
            </w:r>
            <w:proofErr w:type="spellEnd"/>
            <w:r w:rsidR="00772C2B" w:rsidRPr="00710947">
              <w:rPr>
                <w:rFonts w:eastAsia="Calibri"/>
                <w:sz w:val="22"/>
              </w:rPr>
              <w:t>, Luxemb</w:t>
            </w:r>
            <w:r w:rsidRPr="00710947">
              <w:rPr>
                <w:rFonts w:eastAsia="Calibri"/>
                <w:sz w:val="22"/>
              </w:rPr>
              <w:t>o</w:t>
            </w:r>
            <w:r w:rsidR="00772C2B" w:rsidRPr="00710947">
              <w:rPr>
                <w:rFonts w:eastAsia="Calibri"/>
                <w:sz w:val="22"/>
              </w:rPr>
              <w:t xml:space="preserve">urg, </w:t>
            </w:r>
            <w:proofErr w:type="spellStart"/>
            <w:r w:rsidR="00772C2B" w:rsidRPr="00710947">
              <w:rPr>
                <w:rFonts w:eastAsia="Calibri"/>
                <w:sz w:val="22"/>
              </w:rPr>
              <w:t>No</w:t>
            </w:r>
            <w:r w:rsidRPr="00710947">
              <w:rPr>
                <w:rFonts w:eastAsia="Calibri"/>
                <w:sz w:val="22"/>
              </w:rPr>
              <w:t>rway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772C2B" w:rsidRPr="00710947">
              <w:rPr>
                <w:rFonts w:eastAsia="Calibri"/>
                <w:sz w:val="22"/>
              </w:rPr>
              <w:t>S</w:t>
            </w:r>
            <w:r w:rsidRPr="00710947">
              <w:rPr>
                <w:rFonts w:eastAsia="Calibri"/>
                <w:sz w:val="22"/>
              </w:rPr>
              <w:t>weden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  <w:r w:rsidRPr="00710947">
              <w:rPr>
                <w:rFonts w:eastAsia="Calibri"/>
                <w:sz w:val="22"/>
              </w:rPr>
              <w:t xml:space="preserve">United </w:t>
            </w:r>
            <w:proofErr w:type="spellStart"/>
            <w:r w:rsidRPr="00710947">
              <w:rPr>
                <w:rFonts w:eastAsia="Calibri"/>
                <w:sz w:val="22"/>
              </w:rPr>
              <w:t>Kingdom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2B" w:rsidRPr="00710947" w:rsidRDefault="00772C2B" w:rsidP="00105DA0">
            <w:pPr>
              <w:spacing w:after="0"/>
              <w:ind w:left="709"/>
              <w:rPr>
                <w:b/>
              </w:rPr>
            </w:pPr>
            <w:r w:rsidRPr="00710947">
              <w:rPr>
                <w:rFonts w:eastAsia="Calibri"/>
                <w:b/>
                <w:sz w:val="22"/>
              </w:rPr>
              <w:t xml:space="preserve"> </w:t>
            </w:r>
            <w:r w:rsidR="0083418D" w:rsidRPr="00710947">
              <w:rPr>
                <w:rFonts w:eastAsia="Calibri"/>
                <w:b/>
                <w:sz w:val="22"/>
              </w:rPr>
              <w:t xml:space="preserve">                </w:t>
            </w:r>
            <w:r w:rsidRPr="00710947">
              <w:rPr>
                <w:rFonts w:eastAsia="Calibri"/>
                <w:b/>
                <w:sz w:val="22"/>
              </w:rPr>
              <w:t xml:space="preserve">520,00 €  </w:t>
            </w:r>
          </w:p>
        </w:tc>
      </w:tr>
      <w:tr w:rsidR="00772C2B" w:rsidTr="0049032A">
        <w:trPr>
          <w:trHeight w:val="1056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2B" w:rsidRPr="00710947" w:rsidRDefault="00772C2B" w:rsidP="00105DA0">
            <w:pPr>
              <w:spacing w:after="16"/>
              <w:ind w:left="709"/>
            </w:pPr>
            <w:proofErr w:type="spellStart"/>
            <w:r w:rsidRPr="00710947">
              <w:rPr>
                <w:rFonts w:eastAsia="Calibri"/>
                <w:sz w:val="22"/>
              </w:rPr>
              <w:t>Aus</w:t>
            </w:r>
            <w:r w:rsidR="00F37262" w:rsidRPr="00710947">
              <w:rPr>
                <w:rFonts w:eastAsia="Calibri"/>
                <w:sz w:val="22"/>
              </w:rPr>
              <w:t>tria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Belgium, </w:t>
            </w:r>
            <w:proofErr w:type="spellStart"/>
            <w:r w:rsidRPr="00710947">
              <w:rPr>
                <w:rFonts w:eastAsia="Calibri"/>
                <w:sz w:val="22"/>
              </w:rPr>
              <w:t>C</w:t>
            </w:r>
            <w:r w:rsidR="00F37262" w:rsidRPr="00710947">
              <w:rPr>
                <w:rFonts w:eastAsia="Calibri"/>
                <w:sz w:val="22"/>
              </w:rPr>
              <w:t>yprus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Germany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Greece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</w:p>
          <w:p w:rsidR="00772C2B" w:rsidRPr="00710947" w:rsidRDefault="00772C2B" w:rsidP="00105DA0">
            <w:pPr>
              <w:spacing w:after="19"/>
              <w:ind w:left="709"/>
            </w:pPr>
            <w:r w:rsidRPr="00710947">
              <w:rPr>
                <w:rFonts w:eastAsia="Calibri"/>
                <w:sz w:val="22"/>
              </w:rPr>
              <w:t>S</w:t>
            </w:r>
            <w:r w:rsidR="00F37262" w:rsidRPr="00710947">
              <w:rPr>
                <w:rFonts w:eastAsia="Calibri"/>
                <w:sz w:val="22"/>
              </w:rPr>
              <w:t>pain</w:t>
            </w:r>
            <w:r w:rsidRPr="00710947">
              <w:rPr>
                <w:rFonts w:eastAsia="Calibri"/>
                <w:sz w:val="22"/>
              </w:rPr>
              <w:t xml:space="preserve">, </w:t>
            </w:r>
            <w:r w:rsidR="00F37262" w:rsidRPr="00710947">
              <w:rPr>
                <w:rFonts w:eastAsia="Calibri"/>
                <w:sz w:val="22"/>
              </w:rPr>
              <w:t>France</w:t>
            </w:r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Italy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Netherlands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sz w:val="22"/>
              </w:rPr>
              <w:t>Malta</w:t>
            </w:r>
            <w:proofErr w:type="spellEnd"/>
            <w:r w:rsidR="00F37262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Portugal</w:t>
            </w:r>
            <w:proofErr w:type="spellEnd"/>
            <w:r w:rsidRPr="00710947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2B" w:rsidRPr="00710947" w:rsidRDefault="0083418D" w:rsidP="00105DA0">
            <w:pPr>
              <w:spacing w:after="0"/>
              <w:ind w:left="709"/>
              <w:rPr>
                <w:b/>
              </w:rPr>
            </w:pPr>
            <w:r w:rsidRPr="00710947">
              <w:rPr>
                <w:rFonts w:eastAsia="Calibri"/>
                <w:b/>
                <w:sz w:val="22"/>
              </w:rPr>
              <w:t xml:space="preserve">                </w:t>
            </w:r>
            <w:r w:rsidR="00772C2B" w:rsidRPr="00710947">
              <w:rPr>
                <w:rFonts w:eastAsia="Calibri"/>
                <w:b/>
                <w:sz w:val="22"/>
              </w:rPr>
              <w:t xml:space="preserve"> </w:t>
            </w:r>
            <w:r w:rsidRPr="00710947">
              <w:rPr>
                <w:rFonts w:eastAsia="Calibri"/>
                <w:b/>
                <w:sz w:val="22"/>
              </w:rPr>
              <w:t xml:space="preserve"> </w:t>
            </w:r>
            <w:r w:rsidR="00772C2B" w:rsidRPr="00710947">
              <w:rPr>
                <w:rFonts w:eastAsia="Calibri"/>
                <w:b/>
                <w:sz w:val="22"/>
              </w:rPr>
              <w:t xml:space="preserve">470,00 €  </w:t>
            </w:r>
          </w:p>
        </w:tc>
      </w:tr>
      <w:tr w:rsidR="00772C2B" w:rsidTr="0049032A">
        <w:trPr>
          <w:trHeight w:val="1057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2B" w:rsidRPr="00710947" w:rsidRDefault="00772C2B" w:rsidP="00105DA0">
            <w:pPr>
              <w:spacing w:after="19"/>
              <w:ind w:left="709"/>
            </w:pPr>
            <w:proofErr w:type="spellStart"/>
            <w:r w:rsidRPr="00710947">
              <w:rPr>
                <w:rFonts w:eastAsia="Calibri"/>
                <w:sz w:val="22"/>
              </w:rPr>
              <w:t>Bul</w:t>
            </w:r>
            <w:r w:rsidR="00F37262" w:rsidRPr="00710947">
              <w:rPr>
                <w:rFonts w:eastAsia="Calibri"/>
                <w:sz w:val="22"/>
              </w:rPr>
              <w:t>garia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Czech</w:t>
            </w:r>
            <w:proofErr w:type="spellEnd"/>
            <w:r w:rsidR="00F37262" w:rsidRPr="00710947">
              <w:rPr>
                <w:rFonts w:eastAsia="Calibri"/>
                <w:sz w:val="22"/>
              </w:rPr>
              <w:t xml:space="preserve"> </w:t>
            </w:r>
            <w:proofErr w:type="spellStart"/>
            <w:r w:rsidR="00F37262" w:rsidRPr="00710947">
              <w:rPr>
                <w:rFonts w:eastAsia="Calibri"/>
                <w:sz w:val="22"/>
              </w:rPr>
              <w:t>Republic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Estonia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Croatia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</w:p>
          <w:p w:rsidR="00772C2B" w:rsidRPr="00710947" w:rsidRDefault="00F37262" w:rsidP="00105DA0">
            <w:pPr>
              <w:spacing w:after="17"/>
              <w:ind w:left="709"/>
            </w:pPr>
            <w:proofErr w:type="spellStart"/>
            <w:r w:rsidRPr="00710947">
              <w:rPr>
                <w:rFonts w:eastAsia="Calibri"/>
                <w:sz w:val="22"/>
              </w:rPr>
              <w:t>Latvia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Lituania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Poland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Roma</w:t>
            </w:r>
            <w:r w:rsidR="00772C2B" w:rsidRPr="00710947">
              <w:rPr>
                <w:rFonts w:eastAsia="Calibri"/>
                <w:sz w:val="22"/>
              </w:rPr>
              <w:t>nia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772C2B" w:rsidRPr="00710947">
              <w:rPr>
                <w:rFonts w:eastAsia="Calibri"/>
                <w:sz w:val="22"/>
              </w:rPr>
              <w:t>S</w:t>
            </w:r>
            <w:r w:rsidRPr="00710947">
              <w:rPr>
                <w:rFonts w:eastAsia="Calibri"/>
                <w:sz w:val="22"/>
              </w:rPr>
              <w:t>lovakia</w:t>
            </w:r>
            <w:proofErr w:type="spellEnd"/>
            <w:r w:rsidR="00772C2B" w:rsidRPr="00710947">
              <w:rPr>
                <w:rFonts w:eastAsia="Calibri"/>
                <w:sz w:val="22"/>
              </w:rPr>
              <w:t xml:space="preserve">, </w:t>
            </w:r>
          </w:p>
          <w:p w:rsidR="00772C2B" w:rsidRPr="00710947" w:rsidRDefault="00772C2B" w:rsidP="00105DA0">
            <w:pPr>
              <w:spacing w:after="0"/>
              <w:ind w:left="709"/>
            </w:pPr>
            <w:proofErr w:type="spellStart"/>
            <w:r w:rsidRPr="00710947">
              <w:rPr>
                <w:rFonts w:eastAsia="Calibri"/>
                <w:sz w:val="22"/>
              </w:rPr>
              <w:t>S</w:t>
            </w:r>
            <w:r w:rsidR="00F37262" w:rsidRPr="00710947">
              <w:rPr>
                <w:rFonts w:eastAsia="Calibri"/>
                <w:sz w:val="22"/>
              </w:rPr>
              <w:t>lovenia</w:t>
            </w:r>
            <w:proofErr w:type="spellEnd"/>
            <w:r w:rsidR="00F37262"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="00F37262" w:rsidRPr="00710947">
              <w:rPr>
                <w:rFonts w:eastAsia="Calibri"/>
                <w:sz w:val="22"/>
              </w:rPr>
              <w:t>Macedo</w:t>
            </w:r>
            <w:r w:rsidRPr="00710947">
              <w:rPr>
                <w:rFonts w:eastAsia="Calibri"/>
                <w:sz w:val="22"/>
              </w:rPr>
              <w:t>nia</w:t>
            </w:r>
            <w:proofErr w:type="spellEnd"/>
            <w:r w:rsidRPr="00710947">
              <w:rPr>
                <w:rFonts w:eastAsia="Calibri"/>
                <w:sz w:val="22"/>
              </w:rPr>
              <w:t xml:space="preserve">, </w:t>
            </w:r>
            <w:proofErr w:type="spellStart"/>
            <w:r w:rsidRPr="00710947">
              <w:rPr>
                <w:rFonts w:eastAsia="Calibri"/>
                <w:sz w:val="22"/>
              </w:rPr>
              <w:t>T</w:t>
            </w:r>
            <w:r w:rsidR="00F37262" w:rsidRPr="00710947">
              <w:rPr>
                <w:rFonts w:eastAsia="Calibri"/>
                <w:sz w:val="22"/>
              </w:rPr>
              <w:t>urkey</w:t>
            </w:r>
            <w:proofErr w:type="spellEnd"/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2B" w:rsidRPr="00710947" w:rsidRDefault="0083418D" w:rsidP="00105DA0">
            <w:pPr>
              <w:spacing w:after="0"/>
              <w:ind w:left="709"/>
              <w:rPr>
                <w:b/>
              </w:rPr>
            </w:pPr>
            <w:r w:rsidRPr="00710947">
              <w:rPr>
                <w:rFonts w:eastAsia="Calibri"/>
                <w:b/>
                <w:sz w:val="22"/>
              </w:rPr>
              <w:t xml:space="preserve">                 </w:t>
            </w:r>
            <w:r w:rsidR="00772C2B" w:rsidRPr="00710947">
              <w:rPr>
                <w:rFonts w:eastAsia="Calibri"/>
                <w:b/>
                <w:sz w:val="22"/>
              </w:rPr>
              <w:t xml:space="preserve"> 420,00 €  </w:t>
            </w:r>
          </w:p>
        </w:tc>
      </w:tr>
    </w:tbl>
    <w:p w:rsidR="00DE71AC" w:rsidRDefault="00DE71AC" w:rsidP="00105DA0">
      <w:pPr>
        <w:spacing w:after="416"/>
        <w:ind w:left="709" w:firstLine="0"/>
      </w:pPr>
    </w:p>
    <w:sectPr w:rsidR="00DE71AC">
      <w:pgSz w:w="11906" w:h="16838"/>
      <w:pgMar w:top="441" w:right="620" w:bottom="776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1D6"/>
    <w:multiLevelType w:val="hybridMultilevel"/>
    <w:tmpl w:val="9132C8E6"/>
    <w:lvl w:ilvl="0" w:tplc="D8A495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6E0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EA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3818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AD5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6C4C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20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A31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09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F26C1"/>
    <w:multiLevelType w:val="hybridMultilevel"/>
    <w:tmpl w:val="C81C4CEE"/>
    <w:lvl w:ilvl="0" w:tplc="99A6FE52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2C8A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A838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26EB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AEC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F0BF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68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408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268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D1AD9"/>
    <w:multiLevelType w:val="hybridMultilevel"/>
    <w:tmpl w:val="4FD4CB62"/>
    <w:lvl w:ilvl="0" w:tplc="15280F88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601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A8D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0DF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45E1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E62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20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E1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8BF3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AC2300"/>
    <w:multiLevelType w:val="hybridMultilevel"/>
    <w:tmpl w:val="C4EE52EC"/>
    <w:lvl w:ilvl="0" w:tplc="809092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8E23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1490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CDB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60B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EEB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6EA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7B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66F0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ED5178"/>
    <w:multiLevelType w:val="hybridMultilevel"/>
    <w:tmpl w:val="76FAE206"/>
    <w:lvl w:ilvl="0" w:tplc="A5785B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2BE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44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04D3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C2B6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80BF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20D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5E2C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089A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4954E7"/>
    <w:multiLevelType w:val="hybridMultilevel"/>
    <w:tmpl w:val="B290EDEC"/>
    <w:lvl w:ilvl="0" w:tplc="3BF0CB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C82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3A55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ABF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5C99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10A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65B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2C1B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AE5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AC"/>
    <w:rsid w:val="000D69EF"/>
    <w:rsid w:val="00105DA0"/>
    <w:rsid w:val="001A6884"/>
    <w:rsid w:val="00412599"/>
    <w:rsid w:val="0049032A"/>
    <w:rsid w:val="005967AD"/>
    <w:rsid w:val="0069276F"/>
    <w:rsid w:val="006D1B3D"/>
    <w:rsid w:val="00710947"/>
    <w:rsid w:val="00772C2B"/>
    <w:rsid w:val="0077403A"/>
    <w:rsid w:val="0083418D"/>
    <w:rsid w:val="00B73D9D"/>
    <w:rsid w:val="00BF7715"/>
    <w:rsid w:val="00DE71AC"/>
    <w:rsid w:val="00EC7248"/>
    <w:rsid w:val="00F226E5"/>
    <w:rsid w:val="00F37262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DABD9-202F-447C-AACE-A4E035A0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9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98"/>
      <w:ind w:right="1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53"/>
      <w:ind w:left="10" w:right="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262"/>
    <w:rPr>
      <w:rFonts w:ascii="Segoe UI" w:eastAsia="Times New Roman" w:hAnsi="Segoe UI" w:cs="Segoe UI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12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mokjffijrio9iwz/Bilateralis%20szerz&#337;d&#233;sek_2014-2020_2018_09_18_AKTU&#193;LIS.xlsx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ERASMUS HALLGATÓI MOBILITÁSI PÁLYÁZAT</vt:lpstr>
    </vt:vector>
  </TitlesOfParts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HALLGATÓI MOBILITÁSI PÁLYÁZAT</dc:title>
  <dc:subject/>
  <dc:creator>Vámosi Réka</dc:creator>
  <cp:keywords/>
  <cp:lastModifiedBy>User</cp:lastModifiedBy>
  <cp:revision>6</cp:revision>
  <cp:lastPrinted>2018-07-03T10:46:00Z</cp:lastPrinted>
  <dcterms:created xsi:type="dcterms:W3CDTF">2018-10-26T07:59:00Z</dcterms:created>
  <dcterms:modified xsi:type="dcterms:W3CDTF">2018-10-26T08:01:00Z</dcterms:modified>
</cp:coreProperties>
</file>